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6369B" w14:textId="77777777" w:rsidR="007A7E45" w:rsidRPr="00FE4B89" w:rsidRDefault="007A7E45" w:rsidP="00FE4B89"/>
    <w:p w14:paraId="684994C6" w14:textId="77777777" w:rsidR="00BF6314" w:rsidRDefault="003E3176">
      <w:pPr>
        <w:pStyle w:val="Heading1"/>
      </w:pPr>
      <w:r>
        <w:t>160 DRŽAVNI ZAVOD ZA STATISTIKU</w:t>
      </w:r>
    </w:p>
    <w:p w14:paraId="69DD602C" w14:textId="77777777" w:rsidR="00BF6314" w:rsidRDefault="003E3176">
      <w:r>
        <w:t xml:space="preserve">Državni zavod za statistiku (u daljnjem tekstu: Zavod) je državna upravna organizacija, glavni nositelj, diseminator i koordinator sustava službene statistike Republike Hrvatske i glavni predstavnik nacionalnog statističkog sustava pred europskim i međunarodnim tijelima nadležnima za statistiku.     </w:t>
      </w:r>
    </w:p>
    <w:p w14:paraId="6CBF5591" w14:textId="77777777" w:rsidR="00BF6314" w:rsidRDefault="003E3176">
      <w:r>
        <w:t xml:space="preserve">Službena statistika je neophodan element javnog informacijskog sustava društva potreban za funkcioniranje demokratskog društva kao i temelj za donošenje odluka od strane mjerodavnih tijela. Službena statistika pruža, na nepristranoj osnovi, državi, gospodarstvu i javnosti podatke o gospodarskom, demografskom, socijalnom i ekološkom stanju, djelatnostima ili događajima koji se mogu mjeriti statističkim metodama, te osigurava ispunjavanje međunarodnih obveza Republike Hrvatske koje se odnose na razmjenu statističkih podataka s drugim državama i međunarodnim organizacijama. Svrha službene statistike je proizvodnja i diseminacija reprezentativnih i mjerodavnih statističkih podataka u skladu s temeljnim načelima službene statistike. Pri Zavodu je ustrojen Statistički savjet kao savjetodavno i stručno tijelo za strategijska pitanja službene statistike, te osiguranja utjecaja korisnika, znanosti i šire javnosti na aktivnosti službene statistike.     </w:t>
      </w:r>
    </w:p>
    <w:p w14:paraId="034296DD" w14:textId="77777777" w:rsidR="00BF6314" w:rsidRDefault="003E3176">
      <w:r>
        <w:t xml:space="preserve">Zavod obavlja poslove službene statistike na temelju Zakona o službenoj statistici, Programa statističkih aktivnosti Republike Hrvatske i godišnjih provedbenih planova statističkih aktivnosti RH.     </w:t>
      </w:r>
    </w:p>
    <w:p w14:paraId="2CA24114" w14:textId="77777777" w:rsidR="00BF6314" w:rsidRDefault="003E3176">
      <w:r>
        <w:t xml:space="preserve">Zavod ulaže velike napore radi unaprjeđenja uspješnosti poslovanja i nastoji stvoriti što je moguće svestraniji program kako bi zadovoljio potrebe usporedivosti s europskim standardima i zahtjeve korisnika. Ulaskom Hrvatske u Europsku uniju, osim nacionalnih razvojnih ciljeva, Republika Hrvatska ulaže napore i u ostvarenje zajedničkih strateških ciljeva Europske unije, što je dodatni izazov u smislu kvalitete i strukturnih obilježja statističkih podataka. Zavod će nadalje kontinuirano provoditi usklađivanje sa zahtjevima statističkog sustava Europske unije u pogledu brojnosti statističkih pokazatelja, rokova objavljivanja i primijenjene metodologije.     </w:t>
      </w:r>
    </w:p>
    <w:p w14:paraId="67A756DC" w14:textId="77777777" w:rsidR="00BF6314" w:rsidRDefault="003E3176">
      <w:r>
        <w:t>Provedba statističkih istraživanja iz Godišnjeg provedbenog plana predstavlja izvršenje obveza, prvenstveno preuzetih iz pravne stečevine EU, ali i onih koje proistječu iz nacionalnih potreba. To je najznačajniji posao i zadatak Zavoda. Pritom je nužno neprekidno raditi na povećavanju učinkovitosti sustava prikupljanja, proizvodnje i obrade podataka, uz najveće moguće korištenje suvremenih informacijskih i komunikacijskih tehnologija, kao i uz uvođenje unapređenja proisteklih iz razvojnih aktivnosti Europskog statističkog sustava, temeljenih na korištenju dobrih iskustava iz zemalja članica EU i drugih zemalja koje surađuju s EU u području službene statistike. Udovoljavanje potrebama za statističkim podacima prati se i prilagođavanjem potrebama korisnika, što se odražava kroz aktivnosti usmjerene na unaprjeđenje diseminacije podataka i odnosa s korisnicima, kroz sustavno poboljšavanje postojećih komunikacijskih kanala za diseminaciju statističkih podataka i rad na uvođenju novih, kroz aktivnosti približavanja statističkih podataka korisnicima na njima jednostavniji i razumljiviji način te promicanjem statističke pismenosti. Specifičnost službene statistike je u tome da se neka statistička istraživanja ne provode svake godine, već u višegodišnjem ciklusu, primjerice Anketa o potrošnji kućanstava koja se planira provesti u 2026. godini.</w:t>
      </w:r>
    </w:p>
    <w:tbl>
      <w:tblPr>
        <w:tblStyle w:val="StilTablice"/>
        <w:tblW w:w="10206" w:type="dxa"/>
        <w:jc w:val="center"/>
        <w:tblLook w:val="04A0" w:firstRow="1" w:lastRow="0" w:firstColumn="1" w:lastColumn="0" w:noHBand="0" w:noVBand="1"/>
      </w:tblPr>
      <w:tblGrid>
        <w:gridCol w:w="1446"/>
        <w:gridCol w:w="1558"/>
        <w:gridCol w:w="1558"/>
        <w:gridCol w:w="1558"/>
        <w:gridCol w:w="1558"/>
        <w:gridCol w:w="1558"/>
        <w:gridCol w:w="970"/>
      </w:tblGrid>
      <w:tr w:rsidR="00BF6314" w14:paraId="12E2C0FA" w14:textId="77777777">
        <w:trPr>
          <w:jc w:val="center"/>
        </w:trPr>
        <w:tc>
          <w:tcPr>
            <w:tcW w:w="1530" w:type="dxa"/>
            <w:shd w:val="clear" w:color="auto" w:fill="B5C0D8"/>
          </w:tcPr>
          <w:p w14:paraId="19BC286A" w14:textId="77777777" w:rsidR="00BF6314" w:rsidRDefault="00BF6314">
            <w:pPr>
              <w:pStyle w:val="CellHeader"/>
            </w:pPr>
          </w:p>
        </w:tc>
        <w:tc>
          <w:tcPr>
            <w:tcW w:w="1632" w:type="dxa"/>
            <w:shd w:val="clear" w:color="auto" w:fill="B5C0D8"/>
          </w:tcPr>
          <w:p w14:paraId="626732F6" w14:textId="77777777" w:rsidR="00BF6314" w:rsidRDefault="003E3176">
            <w:pPr>
              <w:pStyle w:val="CellHeader"/>
            </w:pPr>
            <w:r>
              <w:rPr>
                <w:rFonts w:cs="Times New Roman"/>
              </w:rPr>
              <w:t>Izvršenje 2023. (eur)</w:t>
            </w:r>
          </w:p>
        </w:tc>
        <w:tc>
          <w:tcPr>
            <w:tcW w:w="1632" w:type="dxa"/>
            <w:shd w:val="clear" w:color="auto" w:fill="B5C0D8"/>
          </w:tcPr>
          <w:p w14:paraId="2C1AFA02" w14:textId="77777777" w:rsidR="00BF6314" w:rsidRDefault="003E3176">
            <w:pPr>
              <w:pStyle w:val="CellHeader"/>
            </w:pPr>
            <w:r>
              <w:rPr>
                <w:rFonts w:cs="Times New Roman"/>
              </w:rPr>
              <w:t>Plan 2024. (eur)</w:t>
            </w:r>
          </w:p>
        </w:tc>
        <w:tc>
          <w:tcPr>
            <w:tcW w:w="1632" w:type="dxa"/>
            <w:shd w:val="clear" w:color="auto" w:fill="B5C0D8"/>
          </w:tcPr>
          <w:p w14:paraId="21F5F51F" w14:textId="77777777" w:rsidR="00BF6314" w:rsidRDefault="003E3176">
            <w:pPr>
              <w:pStyle w:val="CellHeader"/>
            </w:pPr>
            <w:r>
              <w:rPr>
                <w:rFonts w:cs="Times New Roman"/>
              </w:rPr>
              <w:t>Plan 2025. (eur)</w:t>
            </w:r>
          </w:p>
        </w:tc>
        <w:tc>
          <w:tcPr>
            <w:tcW w:w="1632" w:type="dxa"/>
            <w:shd w:val="clear" w:color="auto" w:fill="B5C0D8"/>
          </w:tcPr>
          <w:p w14:paraId="73C96A4B" w14:textId="77777777" w:rsidR="00BF6314" w:rsidRDefault="003E3176">
            <w:pPr>
              <w:pStyle w:val="CellHeader"/>
            </w:pPr>
            <w:r>
              <w:rPr>
                <w:rFonts w:cs="Times New Roman"/>
              </w:rPr>
              <w:t>Plan 2026. (eur)</w:t>
            </w:r>
          </w:p>
        </w:tc>
        <w:tc>
          <w:tcPr>
            <w:tcW w:w="1632" w:type="dxa"/>
            <w:shd w:val="clear" w:color="auto" w:fill="B5C0D8"/>
          </w:tcPr>
          <w:p w14:paraId="10FFBCC1" w14:textId="77777777" w:rsidR="00BF6314" w:rsidRDefault="003E3176">
            <w:pPr>
              <w:pStyle w:val="CellHeader"/>
            </w:pPr>
            <w:r>
              <w:rPr>
                <w:rFonts w:cs="Times New Roman"/>
              </w:rPr>
              <w:t>Plan 2027. (eur)</w:t>
            </w:r>
          </w:p>
        </w:tc>
        <w:tc>
          <w:tcPr>
            <w:tcW w:w="510" w:type="dxa"/>
            <w:shd w:val="clear" w:color="auto" w:fill="B5C0D8"/>
          </w:tcPr>
          <w:p w14:paraId="3DF8F52E" w14:textId="77777777" w:rsidR="00BF6314" w:rsidRDefault="003E3176">
            <w:pPr>
              <w:pStyle w:val="CellHeader"/>
            </w:pPr>
            <w:r>
              <w:rPr>
                <w:rFonts w:cs="Times New Roman"/>
              </w:rPr>
              <w:t>Indeks 2025/2024</w:t>
            </w:r>
          </w:p>
        </w:tc>
      </w:tr>
      <w:tr w:rsidR="00BF6314" w14:paraId="20CF19A1" w14:textId="77777777">
        <w:trPr>
          <w:jc w:val="center"/>
        </w:trPr>
        <w:tc>
          <w:tcPr>
            <w:tcW w:w="1530" w:type="dxa"/>
          </w:tcPr>
          <w:p w14:paraId="2011F371" w14:textId="77777777" w:rsidR="00BF6314" w:rsidRDefault="003E3176">
            <w:pPr>
              <w:pStyle w:val="CellColumn"/>
            </w:pPr>
            <w:r>
              <w:rPr>
                <w:rFonts w:cs="Times New Roman"/>
              </w:rPr>
              <w:t>16005-Državni zavod za statistiku</w:t>
            </w:r>
          </w:p>
        </w:tc>
        <w:tc>
          <w:tcPr>
            <w:tcW w:w="1632" w:type="dxa"/>
          </w:tcPr>
          <w:p w14:paraId="6BB4E780" w14:textId="77777777" w:rsidR="00BF6314" w:rsidRDefault="003E3176">
            <w:pPr>
              <w:pStyle w:val="CellColumn"/>
            </w:pPr>
            <w:r>
              <w:rPr>
                <w:rFonts w:cs="Times New Roman"/>
              </w:rPr>
              <w:t>16.422.703</w:t>
            </w:r>
          </w:p>
        </w:tc>
        <w:tc>
          <w:tcPr>
            <w:tcW w:w="1632" w:type="dxa"/>
          </w:tcPr>
          <w:p w14:paraId="16221536" w14:textId="77777777" w:rsidR="00BF6314" w:rsidRDefault="003E3176">
            <w:pPr>
              <w:pStyle w:val="CellColumn"/>
            </w:pPr>
            <w:r>
              <w:rPr>
                <w:rFonts w:cs="Times New Roman"/>
              </w:rPr>
              <w:t>20.430.663</w:t>
            </w:r>
          </w:p>
        </w:tc>
        <w:tc>
          <w:tcPr>
            <w:tcW w:w="1632" w:type="dxa"/>
          </w:tcPr>
          <w:p w14:paraId="349467E6" w14:textId="77777777" w:rsidR="00BF6314" w:rsidRDefault="003E3176">
            <w:pPr>
              <w:pStyle w:val="CellColumn"/>
            </w:pPr>
            <w:r>
              <w:rPr>
                <w:rFonts w:cs="Times New Roman"/>
              </w:rPr>
              <w:t>26.270.206</w:t>
            </w:r>
          </w:p>
        </w:tc>
        <w:tc>
          <w:tcPr>
            <w:tcW w:w="1632" w:type="dxa"/>
          </w:tcPr>
          <w:p w14:paraId="3C62ADA2" w14:textId="77777777" w:rsidR="00BF6314" w:rsidRDefault="003E3176">
            <w:pPr>
              <w:pStyle w:val="CellColumn"/>
            </w:pPr>
            <w:r>
              <w:rPr>
                <w:rFonts w:cs="Times New Roman"/>
              </w:rPr>
              <w:t>40.328.100</w:t>
            </w:r>
          </w:p>
        </w:tc>
        <w:tc>
          <w:tcPr>
            <w:tcW w:w="1632" w:type="dxa"/>
          </w:tcPr>
          <w:p w14:paraId="30ABF9D7" w14:textId="77777777" w:rsidR="00BF6314" w:rsidRDefault="003E3176">
            <w:pPr>
              <w:pStyle w:val="CellColumn"/>
            </w:pPr>
            <w:r>
              <w:rPr>
                <w:rFonts w:cs="Times New Roman"/>
              </w:rPr>
              <w:t>29.652.732</w:t>
            </w:r>
          </w:p>
        </w:tc>
        <w:tc>
          <w:tcPr>
            <w:tcW w:w="510" w:type="dxa"/>
          </w:tcPr>
          <w:p w14:paraId="509C8CB7" w14:textId="77777777" w:rsidR="00BF6314" w:rsidRDefault="003E3176">
            <w:pPr>
              <w:pStyle w:val="CellColumn"/>
            </w:pPr>
            <w:r>
              <w:rPr>
                <w:rFonts w:cs="Times New Roman"/>
              </w:rPr>
              <w:t>128,6</w:t>
            </w:r>
          </w:p>
        </w:tc>
      </w:tr>
      <w:tr w:rsidR="00BF6314" w14:paraId="2AFAB9A7" w14:textId="77777777">
        <w:trPr>
          <w:jc w:val="center"/>
        </w:trPr>
        <w:tc>
          <w:tcPr>
            <w:tcW w:w="1530" w:type="dxa"/>
            <w:shd w:val="clear" w:color="auto" w:fill="B5C0D8"/>
          </w:tcPr>
          <w:p w14:paraId="44170476" w14:textId="77777777" w:rsidR="00BF6314" w:rsidRDefault="003E3176">
            <w:pPr>
              <w:pStyle w:val="CellColumn"/>
            </w:pPr>
            <w:r>
              <w:rPr>
                <w:rFonts w:cs="Times New Roman"/>
              </w:rPr>
              <w:t>Ukupno 160</w:t>
            </w:r>
          </w:p>
        </w:tc>
        <w:tc>
          <w:tcPr>
            <w:tcW w:w="1632" w:type="dxa"/>
            <w:shd w:val="clear" w:color="auto" w:fill="B5C0D8"/>
          </w:tcPr>
          <w:p w14:paraId="42130DF1" w14:textId="77777777" w:rsidR="00BF6314" w:rsidRDefault="003E3176">
            <w:pPr>
              <w:pStyle w:val="CellColumn"/>
            </w:pPr>
            <w:r>
              <w:rPr>
                <w:rFonts w:cs="Times New Roman"/>
              </w:rPr>
              <w:t>16.422.703</w:t>
            </w:r>
          </w:p>
        </w:tc>
        <w:tc>
          <w:tcPr>
            <w:tcW w:w="1632" w:type="dxa"/>
            <w:shd w:val="clear" w:color="auto" w:fill="B5C0D8"/>
          </w:tcPr>
          <w:p w14:paraId="700A9FAE" w14:textId="77777777" w:rsidR="00BF6314" w:rsidRDefault="003E3176">
            <w:pPr>
              <w:pStyle w:val="CellColumn"/>
            </w:pPr>
            <w:r>
              <w:rPr>
                <w:rFonts w:cs="Times New Roman"/>
              </w:rPr>
              <w:t>20.430.663</w:t>
            </w:r>
          </w:p>
        </w:tc>
        <w:tc>
          <w:tcPr>
            <w:tcW w:w="1632" w:type="dxa"/>
            <w:shd w:val="clear" w:color="auto" w:fill="B5C0D8"/>
          </w:tcPr>
          <w:p w14:paraId="629CBAD6" w14:textId="77777777" w:rsidR="00BF6314" w:rsidRDefault="003E3176">
            <w:pPr>
              <w:pStyle w:val="CellColumn"/>
            </w:pPr>
            <w:r>
              <w:rPr>
                <w:rFonts w:cs="Times New Roman"/>
              </w:rPr>
              <w:t>26.270.206</w:t>
            </w:r>
          </w:p>
        </w:tc>
        <w:tc>
          <w:tcPr>
            <w:tcW w:w="1632" w:type="dxa"/>
            <w:shd w:val="clear" w:color="auto" w:fill="B5C0D8"/>
          </w:tcPr>
          <w:p w14:paraId="31B8A1D9" w14:textId="77777777" w:rsidR="00BF6314" w:rsidRDefault="003E3176">
            <w:pPr>
              <w:pStyle w:val="CellColumn"/>
            </w:pPr>
            <w:r>
              <w:rPr>
                <w:rFonts w:cs="Times New Roman"/>
              </w:rPr>
              <w:t>40.328.100</w:t>
            </w:r>
          </w:p>
        </w:tc>
        <w:tc>
          <w:tcPr>
            <w:tcW w:w="1632" w:type="dxa"/>
            <w:shd w:val="clear" w:color="auto" w:fill="B5C0D8"/>
          </w:tcPr>
          <w:p w14:paraId="1325D036" w14:textId="77777777" w:rsidR="00BF6314" w:rsidRDefault="003E3176">
            <w:pPr>
              <w:pStyle w:val="CellColumn"/>
            </w:pPr>
            <w:r>
              <w:rPr>
                <w:rFonts w:cs="Times New Roman"/>
              </w:rPr>
              <w:t>29.652.732</w:t>
            </w:r>
          </w:p>
        </w:tc>
        <w:tc>
          <w:tcPr>
            <w:tcW w:w="510" w:type="dxa"/>
            <w:shd w:val="clear" w:color="auto" w:fill="B5C0D8"/>
          </w:tcPr>
          <w:p w14:paraId="2CB15AF2" w14:textId="77777777" w:rsidR="00BF6314" w:rsidRDefault="003E3176">
            <w:pPr>
              <w:pStyle w:val="CellColumn"/>
            </w:pPr>
            <w:r>
              <w:rPr>
                <w:rFonts w:cs="Times New Roman"/>
              </w:rPr>
              <w:t>128,6</w:t>
            </w:r>
          </w:p>
        </w:tc>
      </w:tr>
    </w:tbl>
    <w:p w14:paraId="6FB0F6EF" w14:textId="77777777" w:rsidR="00BF6314" w:rsidRDefault="00BF6314">
      <w:pPr>
        <w:jc w:val="left"/>
      </w:pPr>
    </w:p>
    <w:p w14:paraId="72FE22A9" w14:textId="77777777" w:rsidR="00BF6314" w:rsidRDefault="003E3176">
      <w:pPr>
        <w:pStyle w:val="Heading2"/>
      </w:pPr>
      <w:r>
        <w:t>16005 Državni zavod za statistiku</w:t>
      </w:r>
    </w:p>
    <w:tbl>
      <w:tblPr>
        <w:tblStyle w:val="StilTablice"/>
        <w:tblW w:w="10206" w:type="dxa"/>
        <w:jc w:val="center"/>
        <w:tblLook w:val="04A0" w:firstRow="1" w:lastRow="0" w:firstColumn="1" w:lastColumn="0" w:noHBand="0" w:noVBand="1"/>
      </w:tblPr>
      <w:tblGrid>
        <w:gridCol w:w="1446"/>
        <w:gridCol w:w="1558"/>
        <w:gridCol w:w="1558"/>
        <w:gridCol w:w="1558"/>
        <w:gridCol w:w="1558"/>
        <w:gridCol w:w="1558"/>
        <w:gridCol w:w="970"/>
      </w:tblGrid>
      <w:tr w:rsidR="00BF6314" w14:paraId="5B57B46C" w14:textId="77777777">
        <w:trPr>
          <w:jc w:val="center"/>
        </w:trPr>
        <w:tc>
          <w:tcPr>
            <w:tcW w:w="1530" w:type="dxa"/>
            <w:shd w:val="clear" w:color="auto" w:fill="B5C0D8"/>
          </w:tcPr>
          <w:p w14:paraId="1A84A6B5" w14:textId="77777777" w:rsidR="00BF6314" w:rsidRDefault="00BF6314">
            <w:pPr>
              <w:pStyle w:val="CellHeader"/>
            </w:pPr>
          </w:p>
        </w:tc>
        <w:tc>
          <w:tcPr>
            <w:tcW w:w="1632" w:type="dxa"/>
            <w:shd w:val="clear" w:color="auto" w:fill="B5C0D8"/>
          </w:tcPr>
          <w:p w14:paraId="6DFC2439" w14:textId="77777777" w:rsidR="00BF6314" w:rsidRDefault="003E3176">
            <w:pPr>
              <w:pStyle w:val="CellHeader"/>
            </w:pPr>
            <w:r>
              <w:rPr>
                <w:rFonts w:cs="Times New Roman"/>
              </w:rPr>
              <w:t>Izvršenje 2023. (eur)</w:t>
            </w:r>
          </w:p>
        </w:tc>
        <w:tc>
          <w:tcPr>
            <w:tcW w:w="1632" w:type="dxa"/>
            <w:shd w:val="clear" w:color="auto" w:fill="B5C0D8"/>
          </w:tcPr>
          <w:p w14:paraId="7D06A0EE" w14:textId="77777777" w:rsidR="00BF6314" w:rsidRDefault="003E3176">
            <w:pPr>
              <w:pStyle w:val="CellHeader"/>
            </w:pPr>
            <w:r>
              <w:rPr>
                <w:rFonts w:cs="Times New Roman"/>
              </w:rPr>
              <w:t>Plan 2024. (eur)</w:t>
            </w:r>
          </w:p>
        </w:tc>
        <w:tc>
          <w:tcPr>
            <w:tcW w:w="1632" w:type="dxa"/>
            <w:shd w:val="clear" w:color="auto" w:fill="B5C0D8"/>
          </w:tcPr>
          <w:p w14:paraId="0258BEFB" w14:textId="77777777" w:rsidR="00BF6314" w:rsidRDefault="003E3176">
            <w:pPr>
              <w:pStyle w:val="CellHeader"/>
            </w:pPr>
            <w:r>
              <w:rPr>
                <w:rFonts w:cs="Times New Roman"/>
              </w:rPr>
              <w:t>Plan 2025. (eur)</w:t>
            </w:r>
          </w:p>
        </w:tc>
        <w:tc>
          <w:tcPr>
            <w:tcW w:w="1632" w:type="dxa"/>
            <w:shd w:val="clear" w:color="auto" w:fill="B5C0D8"/>
          </w:tcPr>
          <w:p w14:paraId="21A341AE" w14:textId="77777777" w:rsidR="00BF6314" w:rsidRDefault="003E3176">
            <w:pPr>
              <w:pStyle w:val="CellHeader"/>
            </w:pPr>
            <w:r>
              <w:rPr>
                <w:rFonts w:cs="Times New Roman"/>
              </w:rPr>
              <w:t>Plan 2026. (eur)</w:t>
            </w:r>
          </w:p>
        </w:tc>
        <w:tc>
          <w:tcPr>
            <w:tcW w:w="1632" w:type="dxa"/>
            <w:shd w:val="clear" w:color="auto" w:fill="B5C0D8"/>
          </w:tcPr>
          <w:p w14:paraId="0F1B8749" w14:textId="77777777" w:rsidR="00BF6314" w:rsidRDefault="003E3176">
            <w:pPr>
              <w:pStyle w:val="CellHeader"/>
            </w:pPr>
            <w:r>
              <w:rPr>
                <w:rFonts w:cs="Times New Roman"/>
              </w:rPr>
              <w:t>Plan 2027. (eur)</w:t>
            </w:r>
          </w:p>
        </w:tc>
        <w:tc>
          <w:tcPr>
            <w:tcW w:w="510" w:type="dxa"/>
            <w:shd w:val="clear" w:color="auto" w:fill="B5C0D8"/>
          </w:tcPr>
          <w:p w14:paraId="2E21A22F" w14:textId="77777777" w:rsidR="00BF6314" w:rsidRDefault="003E3176">
            <w:pPr>
              <w:pStyle w:val="CellHeader"/>
            </w:pPr>
            <w:r>
              <w:rPr>
                <w:rFonts w:cs="Times New Roman"/>
              </w:rPr>
              <w:t>Indeks 2025/2024</w:t>
            </w:r>
          </w:p>
        </w:tc>
      </w:tr>
      <w:tr w:rsidR="00BF6314" w14:paraId="4BDE79C3" w14:textId="77777777">
        <w:trPr>
          <w:jc w:val="center"/>
        </w:trPr>
        <w:tc>
          <w:tcPr>
            <w:tcW w:w="1530" w:type="dxa"/>
          </w:tcPr>
          <w:p w14:paraId="4EB17AC9" w14:textId="77777777" w:rsidR="00BF6314" w:rsidRDefault="003E3176">
            <w:pPr>
              <w:pStyle w:val="CellColumn"/>
            </w:pPr>
            <w:r>
              <w:rPr>
                <w:rFonts w:cs="Times New Roman"/>
              </w:rPr>
              <w:t>16005-Državni zavod za statistiku</w:t>
            </w:r>
          </w:p>
        </w:tc>
        <w:tc>
          <w:tcPr>
            <w:tcW w:w="1632" w:type="dxa"/>
          </w:tcPr>
          <w:p w14:paraId="09C04BE9" w14:textId="77777777" w:rsidR="00BF6314" w:rsidRDefault="003E3176">
            <w:pPr>
              <w:pStyle w:val="CellColumn"/>
            </w:pPr>
            <w:r>
              <w:rPr>
                <w:rFonts w:cs="Times New Roman"/>
              </w:rPr>
              <w:t>16.422.703</w:t>
            </w:r>
          </w:p>
        </w:tc>
        <w:tc>
          <w:tcPr>
            <w:tcW w:w="1632" w:type="dxa"/>
          </w:tcPr>
          <w:p w14:paraId="312CE9C9" w14:textId="77777777" w:rsidR="00BF6314" w:rsidRDefault="003E3176">
            <w:pPr>
              <w:pStyle w:val="CellColumn"/>
            </w:pPr>
            <w:r>
              <w:rPr>
                <w:rFonts w:cs="Times New Roman"/>
              </w:rPr>
              <w:t>20.430.663</w:t>
            </w:r>
          </w:p>
        </w:tc>
        <w:tc>
          <w:tcPr>
            <w:tcW w:w="1632" w:type="dxa"/>
          </w:tcPr>
          <w:p w14:paraId="23118A14" w14:textId="77777777" w:rsidR="00BF6314" w:rsidRDefault="003E3176">
            <w:pPr>
              <w:pStyle w:val="CellColumn"/>
            </w:pPr>
            <w:r>
              <w:rPr>
                <w:rFonts w:cs="Times New Roman"/>
              </w:rPr>
              <w:t>26.270.206</w:t>
            </w:r>
          </w:p>
        </w:tc>
        <w:tc>
          <w:tcPr>
            <w:tcW w:w="1632" w:type="dxa"/>
          </w:tcPr>
          <w:p w14:paraId="72EAF4BC" w14:textId="77777777" w:rsidR="00BF6314" w:rsidRDefault="003E3176">
            <w:pPr>
              <w:pStyle w:val="CellColumn"/>
            </w:pPr>
            <w:r>
              <w:rPr>
                <w:rFonts w:cs="Times New Roman"/>
              </w:rPr>
              <w:t>40.328.100</w:t>
            </w:r>
          </w:p>
        </w:tc>
        <w:tc>
          <w:tcPr>
            <w:tcW w:w="1632" w:type="dxa"/>
          </w:tcPr>
          <w:p w14:paraId="3ABBB779" w14:textId="77777777" w:rsidR="00BF6314" w:rsidRDefault="003E3176">
            <w:pPr>
              <w:pStyle w:val="CellColumn"/>
            </w:pPr>
            <w:r>
              <w:rPr>
                <w:rFonts w:cs="Times New Roman"/>
              </w:rPr>
              <w:t>29.652.732</w:t>
            </w:r>
          </w:p>
        </w:tc>
        <w:tc>
          <w:tcPr>
            <w:tcW w:w="510" w:type="dxa"/>
          </w:tcPr>
          <w:p w14:paraId="4E7A7B71" w14:textId="77777777" w:rsidR="00BF6314" w:rsidRDefault="003E3176">
            <w:pPr>
              <w:pStyle w:val="CellColumn"/>
            </w:pPr>
            <w:r>
              <w:rPr>
                <w:rFonts w:cs="Times New Roman"/>
              </w:rPr>
              <w:t>128,6</w:t>
            </w:r>
          </w:p>
        </w:tc>
      </w:tr>
    </w:tbl>
    <w:p w14:paraId="30F21445" w14:textId="77777777" w:rsidR="00BF6314" w:rsidRDefault="00BF6314">
      <w:pPr>
        <w:jc w:val="left"/>
      </w:pPr>
    </w:p>
    <w:p w14:paraId="52005A28" w14:textId="77777777" w:rsidR="00BF6314" w:rsidRDefault="003E3176">
      <w:pPr>
        <w:pStyle w:val="Heading3"/>
      </w:pPr>
      <w:r>
        <w:rPr>
          <w:rFonts w:cs="Times New Roman"/>
        </w:rPr>
        <w:lastRenderedPageBreak/>
        <w:t>2405 STATISTIČKE USLUGE</w:t>
      </w:r>
    </w:p>
    <w:tbl>
      <w:tblPr>
        <w:tblStyle w:val="StilTablice"/>
        <w:tblW w:w="10206" w:type="dxa"/>
        <w:jc w:val="center"/>
        <w:tblLook w:val="04A0" w:firstRow="1" w:lastRow="0" w:firstColumn="1" w:lastColumn="0" w:noHBand="0" w:noVBand="1"/>
      </w:tblPr>
      <w:tblGrid>
        <w:gridCol w:w="1510"/>
        <w:gridCol w:w="1546"/>
        <w:gridCol w:w="1545"/>
        <w:gridCol w:w="1545"/>
        <w:gridCol w:w="1545"/>
        <w:gridCol w:w="1545"/>
        <w:gridCol w:w="970"/>
      </w:tblGrid>
      <w:tr w:rsidR="00BF6314" w14:paraId="2CAC34EA" w14:textId="77777777">
        <w:trPr>
          <w:jc w:val="center"/>
        </w:trPr>
        <w:tc>
          <w:tcPr>
            <w:tcW w:w="1530" w:type="dxa"/>
            <w:shd w:val="clear" w:color="auto" w:fill="B5C0D8"/>
          </w:tcPr>
          <w:p w14:paraId="728F881F" w14:textId="77777777" w:rsidR="00BF6314" w:rsidRDefault="00BF6314">
            <w:pPr>
              <w:pStyle w:val="CellHeader"/>
            </w:pPr>
          </w:p>
        </w:tc>
        <w:tc>
          <w:tcPr>
            <w:tcW w:w="1632" w:type="dxa"/>
            <w:shd w:val="clear" w:color="auto" w:fill="B5C0D8"/>
          </w:tcPr>
          <w:p w14:paraId="0765F411" w14:textId="77777777" w:rsidR="00BF6314" w:rsidRDefault="003E3176">
            <w:pPr>
              <w:pStyle w:val="CellHeader"/>
            </w:pPr>
            <w:r>
              <w:rPr>
                <w:rFonts w:cs="Times New Roman"/>
              </w:rPr>
              <w:t>Izvršenje 2023. (eur)</w:t>
            </w:r>
          </w:p>
        </w:tc>
        <w:tc>
          <w:tcPr>
            <w:tcW w:w="1632" w:type="dxa"/>
            <w:shd w:val="clear" w:color="auto" w:fill="B5C0D8"/>
          </w:tcPr>
          <w:p w14:paraId="6D50EBBE" w14:textId="77777777" w:rsidR="00BF6314" w:rsidRDefault="003E3176">
            <w:pPr>
              <w:pStyle w:val="CellHeader"/>
            </w:pPr>
            <w:r>
              <w:rPr>
                <w:rFonts w:cs="Times New Roman"/>
              </w:rPr>
              <w:t>Plan 2024. (eur)</w:t>
            </w:r>
          </w:p>
        </w:tc>
        <w:tc>
          <w:tcPr>
            <w:tcW w:w="1632" w:type="dxa"/>
            <w:shd w:val="clear" w:color="auto" w:fill="B5C0D8"/>
          </w:tcPr>
          <w:p w14:paraId="5470C15F" w14:textId="77777777" w:rsidR="00BF6314" w:rsidRDefault="003E3176">
            <w:pPr>
              <w:pStyle w:val="CellHeader"/>
            </w:pPr>
            <w:r>
              <w:rPr>
                <w:rFonts w:cs="Times New Roman"/>
              </w:rPr>
              <w:t>Plan 2025. (eur)</w:t>
            </w:r>
          </w:p>
        </w:tc>
        <w:tc>
          <w:tcPr>
            <w:tcW w:w="1632" w:type="dxa"/>
            <w:shd w:val="clear" w:color="auto" w:fill="B5C0D8"/>
          </w:tcPr>
          <w:p w14:paraId="04B74257" w14:textId="77777777" w:rsidR="00BF6314" w:rsidRDefault="003E3176">
            <w:pPr>
              <w:pStyle w:val="CellHeader"/>
            </w:pPr>
            <w:r>
              <w:rPr>
                <w:rFonts w:cs="Times New Roman"/>
              </w:rPr>
              <w:t>Plan 2026. (eur)</w:t>
            </w:r>
          </w:p>
        </w:tc>
        <w:tc>
          <w:tcPr>
            <w:tcW w:w="1632" w:type="dxa"/>
            <w:shd w:val="clear" w:color="auto" w:fill="B5C0D8"/>
          </w:tcPr>
          <w:p w14:paraId="0578BB82" w14:textId="77777777" w:rsidR="00BF6314" w:rsidRDefault="003E3176">
            <w:pPr>
              <w:pStyle w:val="CellHeader"/>
            </w:pPr>
            <w:r>
              <w:rPr>
                <w:rFonts w:cs="Times New Roman"/>
              </w:rPr>
              <w:t>Plan 2027. (eur)</w:t>
            </w:r>
          </w:p>
        </w:tc>
        <w:tc>
          <w:tcPr>
            <w:tcW w:w="510" w:type="dxa"/>
            <w:shd w:val="clear" w:color="auto" w:fill="B5C0D8"/>
          </w:tcPr>
          <w:p w14:paraId="03BE0AAD" w14:textId="77777777" w:rsidR="00BF6314" w:rsidRDefault="003E3176">
            <w:pPr>
              <w:pStyle w:val="CellHeader"/>
            </w:pPr>
            <w:r>
              <w:rPr>
                <w:rFonts w:cs="Times New Roman"/>
              </w:rPr>
              <w:t>Indeks 2025/2024</w:t>
            </w:r>
          </w:p>
        </w:tc>
      </w:tr>
      <w:tr w:rsidR="00BF6314" w14:paraId="72F4A106" w14:textId="77777777">
        <w:trPr>
          <w:jc w:val="center"/>
        </w:trPr>
        <w:tc>
          <w:tcPr>
            <w:tcW w:w="1530" w:type="dxa"/>
          </w:tcPr>
          <w:p w14:paraId="6576B2F9" w14:textId="77777777" w:rsidR="00BF6314" w:rsidRDefault="003E3176">
            <w:pPr>
              <w:pStyle w:val="CellColumn"/>
            </w:pPr>
            <w:r>
              <w:rPr>
                <w:rFonts w:cs="Times New Roman"/>
              </w:rPr>
              <w:t>2405-STATISTIČKE USLUGE</w:t>
            </w:r>
          </w:p>
        </w:tc>
        <w:tc>
          <w:tcPr>
            <w:tcW w:w="1632" w:type="dxa"/>
          </w:tcPr>
          <w:p w14:paraId="15BCDC9E" w14:textId="77777777" w:rsidR="00BF6314" w:rsidRDefault="003E3176">
            <w:pPr>
              <w:pStyle w:val="CellColumn"/>
            </w:pPr>
            <w:r>
              <w:rPr>
                <w:rFonts w:cs="Times New Roman"/>
              </w:rPr>
              <w:t>16.422.703</w:t>
            </w:r>
          </w:p>
        </w:tc>
        <w:tc>
          <w:tcPr>
            <w:tcW w:w="1632" w:type="dxa"/>
          </w:tcPr>
          <w:p w14:paraId="09684AEE" w14:textId="77777777" w:rsidR="00BF6314" w:rsidRDefault="003E3176">
            <w:pPr>
              <w:pStyle w:val="CellColumn"/>
            </w:pPr>
            <w:r>
              <w:rPr>
                <w:rFonts w:cs="Times New Roman"/>
              </w:rPr>
              <w:t>20.430.663</w:t>
            </w:r>
          </w:p>
        </w:tc>
        <w:tc>
          <w:tcPr>
            <w:tcW w:w="1632" w:type="dxa"/>
          </w:tcPr>
          <w:p w14:paraId="010F426A" w14:textId="77777777" w:rsidR="00BF6314" w:rsidRDefault="003E3176">
            <w:pPr>
              <w:pStyle w:val="CellColumn"/>
            </w:pPr>
            <w:r>
              <w:rPr>
                <w:rFonts w:cs="Times New Roman"/>
              </w:rPr>
              <w:t>26.270.206</w:t>
            </w:r>
          </w:p>
        </w:tc>
        <w:tc>
          <w:tcPr>
            <w:tcW w:w="1632" w:type="dxa"/>
          </w:tcPr>
          <w:p w14:paraId="41738798" w14:textId="77777777" w:rsidR="00BF6314" w:rsidRDefault="003E3176">
            <w:pPr>
              <w:pStyle w:val="CellColumn"/>
            </w:pPr>
            <w:r>
              <w:rPr>
                <w:rFonts w:cs="Times New Roman"/>
              </w:rPr>
              <w:t>40.328.100</w:t>
            </w:r>
          </w:p>
        </w:tc>
        <w:tc>
          <w:tcPr>
            <w:tcW w:w="1632" w:type="dxa"/>
          </w:tcPr>
          <w:p w14:paraId="082596B5" w14:textId="77777777" w:rsidR="00BF6314" w:rsidRDefault="003E3176">
            <w:pPr>
              <w:pStyle w:val="CellColumn"/>
            </w:pPr>
            <w:r>
              <w:rPr>
                <w:rFonts w:cs="Times New Roman"/>
              </w:rPr>
              <w:t>29.652.732</w:t>
            </w:r>
          </w:p>
        </w:tc>
        <w:tc>
          <w:tcPr>
            <w:tcW w:w="510" w:type="dxa"/>
          </w:tcPr>
          <w:p w14:paraId="25135D72" w14:textId="77777777" w:rsidR="00BF6314" w:rsidRDefault="003E3176">
            <w:pPr>
              <w:pStyle w:val="CellColumn"/>
            </w:pPr>
            <w:r>
              <w:rPr>
                <w:rFonts w:cs="Times New Roman"/>
              </w:rPr>
              <w:t>128,6</w:t>
            </w:r>
          </w:p>
        </w:tc>
      </w:tr>
    </w:tbl>
    <w:p w14:paraId="2DD24F61" w14:textId="77777777" w:rsidR="00BF6314" w:rsidRDefault="00BF6314">
      <w:pPr>
        <w:jc w:val="left"/>
      </w:pPr>
    </w:p>
    <w:p w14:paraId="783BFACD" w14:textId="77777777" w:rsidR="00BF6314" w:rsidRDefault="003E3176">
      <w:pPr>
        <w:pStyle w:val="Heading7"/>
      </w:pPr>
      <w:r>
        <w:t xml:space="preserve">Cilj 1. Osigurati kvalitetne, usporedive i pravodobne službene statističke podatke korisnicima te njihovo unaprjeđivanje </w:t>
      </w:r>
    </w:p>
    <w:p w14:paraId="30117E03" w14:textId="77777777" w:rsidR="00BF6314" w:rsidRDefault="003E3176">
      <w:pPr>
        <w:pStyle w:val="Heading8"/>
        <w:jc w:val="left"/>
      </w:pPr>
      <w:r>
        <w:t>Pokazatelji učinka</w:t>
      </w:r>
    </w:p>
    <w:tbl>
      <w:tblPr>
        <w:tblStyle w:val="StilTablice"/>
        <w:tblW w:w="10206" w:type="dxa"/>
        <w:jc w:val="center"/>
        <w:tblLook w:val="04A0" w:firstRow="1" w:lastRow="0" w:firstColumn="1" w:lastColumn="0" w:noHBand="0" w:noVBand="1"/>
      </w:tblPr>
      <w:tblGrid>
        <w:gridCol w:w="2228"/>
        <w:gridCol w:w="2231"/>
        <w:gridCol w:w="916"/>
        <w:gridCol w:w="918"/>
        <w:gridCol w:w="1159"/>
        <w:gridCol w:w="918"/>
        <w:gridCol w:w="918"/>
        <w:gridCol w:w="918"/>
      </w:tblGrid>
      <w:tr w:rsidR="00BF6314" w14:paraId="1520E29B" w14:textId="77777777">
        <w:trPr>
          <w:jc w:val="center"/>
        </w:trPr>
        <w:tc>
          <w:tcPr>
            <w:tcW w:w="2245" w:type="dxa"/>
            <w:shd w:val="clear" w:color="auto" w:fill="B5C0D8"/>
          </w:tcPr>
          <w:p w14:paraId="2A1C1687" w14:textId="77777777" w:rsidR="00BF6314" w:rsidRDefault="003E3176">
            <w:r>
              <w:t>Pokazatelj učinka</w:t>
            </w:r>
          </w:p>
        </w:tc>
        <w:tc>
          <w:tcPr>
            <w:tcW w:w="2245" w:type="dxa"/>
            <w:shd w:val="clear" w:color="auto" w:fill="B5C0D8"/>
          </w:tcPr>
          <w:p w14:paraId="1298FFEE" w14:textId="77777777" w:rsidR="00BF6314" w:rsidRDefault="003E3176">
            <w:pPr>
              <w:pStyle w:val="CellHeader"/>
            </w:pPr>
            <w:r>
              <w:rPr>
                <w:rFonts w:cs="Times New Roman"/>
              </w:rPr>
              <w:t>Definicija</w:t>
            </w:r>
          </w:p>
        </w:tc>
        <w:tc>
          <w:tcPr>
            <w:tcW w:w="918" w:type="dxa"/>
            <w:shd w:val="clear" w:color="auto" w:fill="B5C0D8"/>
          </w:tcPr>
          <w:p w14:paraId="129EFA7F" w14:textId="77777777" w:rsidR="00BF6314" w:rsidRDefault="003E3176">
            <w:pPr>
              <w:pStyle w:val="CellHeader"/>
            </w:pPr>
            <w:r>
              <w:rPr>
                <w:rFonts w:cs="Times New Roman"/>
              </w:rPr>
              <w:t>Jedinica</w:t>
            </w:r>
          </w:p>
        </w:tc>
        <w:tc>
          <w:tcPr>
            <w:tcW w:w="918" w:type="dxa"/>
            <w:shd w:val="clear" w:color="auto" w:fill="B5C0D8"/>
          </w:tcPr>
          <w:p w14:paraId="77FC93FA" w14:textId="77777777" w:rsidR="00BF6314" w:rsidRDefault="003E3176">
            <w:pPr>
              <w:pStyle w:val="CellHeader"/>
            </w:pPr>
            <w:r>
              <w:rPr>
                <w:rFonts w:cs="Times New Roman"/>
              </w:rPr>
              <w:t>Polazna vrijednost</w:t>
            </w:r>
          </w:p>
        </w:tc>
        <w:tc>
          <w:tcPr>
            <w:tcW w:w="918" w:type="dxa"/>
            <w:shd w:val="clear" w:color="auto" w:fill="B5C0D8"/>
          </w:tcPr>
          <w:p w14:paraId="2FC5E6B7" w14:textId="77777777" w:rsidR="00BF6314" w:rsidRDefault="003E3176">
            <w:pPr>
              <w:pStyle w:val="CellHeader"/>
            </w:pPr>
            <w:r>
              <w:rPr>
                <w:rFonts w:cs="Times New Roman"/>
              </w:rPr>
              <w:t>Izvor podataka</w:t>
            </w:r>
          </w:p>
        </w:tc>
        <w:tc>
          <w:tcPr>
            <w:tcW w:w="918" w:type="dxa"/>
            <w:shd w:val="clear" w:color="auto" w:fill="B5C0D8"/>
          </w:tcPr>
          <w:p w14:paraId="5630CEEC" w14:textId="77777777" w:rsidR="00BF6314" w:rsidRDefault="003E3176">
            <w:pPr>
              <w:pStyle w:val="CellHeader"/>
            </w:pPr>
            <w:r>
              <w:rPr>
                <w:rFonts w:cs="Times New Roman"/>
              </w:rPr>
              <w:t>Ciljana vrijednost (2025.)</w:t>
            </w:r>
          </w:p>
        </w:tc>
        <w:tc>
          <w:tcPr>
            <w:tcW w:w="918" w:type="dxa"/>
            <w:shd w:val="clear" w:color="auto" w:fill="B5C0D8"/>
          </w:tcPr>
          <w:p w14:paraId="297F28C6" w14:textId="77777777" w:rsidR="00BF6314" w:rsidRDefault="003E3176">
            <w:pPr>
              <w:pStyle w:val="CellHeader"/>
            </w:pPr>
            <w:r>
              <w:rPr>
                <w:rFonts w:cs="Times New Roman"/>
              </w:rPr>
              <w:t>Ciljana vrijednost (2026.)</w:t>
            </w:r>
          </w:p>
        </w:tc>
        <w:tc>
          <w:tcPr>
            <w:tcW w:w="918" w:type="dxa"/>
            <w:shd w:val="clear" w:color="auto" w:fill="B5C0D8"/>
          </w:tcPr>
          <w:p w14:paraId="0E4C0322" w14:textId="77777777" w:rsidR="00BF6314" w:rsidRDefault="003E3176">
            <w:pPr>
              <w:pStyle w:val="CellHeader"/>
            </w:pPr>
            <w:r>
              <w:rPr>
                <w:rFonts w:cs="Times New Roman"/>
              </w:rPr>
              <w:t>Ciljana vrijednost (2027.)</w:t>
            </w:r>
          </w:p>
        </w:tc>
      </w:tr>
      <w:tr w:rsidR="00BF6314" w14:paraId="2C6390C4" w14:textId="77777777">
        <w:trPr>
          <w:jc w:val="center"/>
        </w:trPr>
        <w:tc>
          <w:tcPr>
            <w:tcW w:w="2245" w:type="dxa"/>
          </w:tcPr>
          <w:p w14:paraId="29A21114" w14:textId="77777777" w:rsidR="00BF6314" w:rsidRDefault="003E3176">
            <w:pPr>
              <w:pStyle w:val="CellColumn"/>
            </w:pPr>
            <w:r>
              <w:rPr>
                <w:rFonts w:cs="Times New Roman"/>
              </w:rPr>
              <w:t>Udio izvršenih statističkih aktivnosti u odnosu na planirane statističke aktivnosti</w:t>
            </w:r>
          </w:p>
        </w:tc>
        <w:tc>
          <w:tcPr>
            <w:tcW w:w="2245" w:type="dxa"/>
          </w:tcPr>
          <w:p w14:paraId="4975EBA8" w14:textId="77777777" w:rsidR="00BF6314" w:rsidRDefault="003E3176">
            <w:pPr>
              <w:pStyle w:val="CellColumn"/>
            </w:pPr>
            <w:r>
              <w:rPr>
                <w:rFonts w:cs="Times New Roman"/>
              </w:rPr>
              <w:t>Podaci o izvršenju obveza iz Godišnjih provedbenih planova podnose se Hrvatskom saboru po isteku svake godine u formi Izvješća o izvršenju Godišnjeg provedbenog plana</w:t>
            </w:r>
          </w:p>
        </w:tc>
        <w:tc>
          <w:tcPr>
            <w:tcW w:w="918" w:type="dxa"/>
          </w:tcPr>
          <w:p w14:paraId="4BDE5922" w14:textId="77777777" w:rsidR="00BF6314" w:rsidRDefault="003E3176">
            <w:pPr>
              <w:pStyle w:val="CellColumn"/>
            </w:pPr>
            <w:r>
              <w:rPr>
                <w:rFonts w:cs="Times New Roman"/>
              </w:rPr>
              <w:t>%</w:t>
            </w:r>
          </w:p>
        </w:tc>
        <w:tc>
          <w:tcPr>
            <w:tcW w:w="918" w:type="dxa"/>
          </w:tcPr>
          <w:p w14:paraId="2C0E43AC" w14:textId="77777777" w:rsidR="00BF6314" w:rsidRDefault="003E3176">
            <w:pPr>
              <w:pStyle w:val="CellColumn"/>
            </w:pPr>
            <w:r>
              <w:rPr>
                <w:rFonts w:cs="Times New Roman"/>
              </w:rPr>
              <w:t>100</w:t>
            </w:r>
          </w:p>
        </w:tc>
        <w:tc>
          <w:tcPr>
            <w:tcW w:w="918" w:type="dxa"/>
          </w:tcPr>
          <w:p w14:paraId="3A46DA8D" w14:textId="77777777" w:rsidR="00BF6314" w:rsidRDefault="003E3176">
            <w:pPr>
              <w:pStyle w:val="CellColumn"/>
            </w:pPr>
            <w:r>
              <w:rPr>
                <w:rFonts w:cs="Times New Roman"/>
              </w:rPr>
              <w:t>Izvješće o izvršenju Godišnjeg provedbenog plana statističkih aktivnosti RH</w:t>
            </w:r>
          </w:p>
        </w:tc>
        <w:tc>
          <w:tcPr>
            <w:tcW w:w="918" w:type="dxa"/>
          </w:tcPr>
          <w:p w14:paraId="4B3B2E7C" w14:textId="77777777" w:rsidR="00BF6314" w:rsidRDefault="003E3176">
            <w:pPr>
              <w:pStyle w:val="CellColumn"/>
            </w:pPr>
            <w:r>
              <w:rPr>
                <w:rFonts w:cs="Times New Roman"/>
              </w:rPr>
              <w:t>100</w:t>
            </w:r>
          </w:p>
        </w:tc>
        <w:tc>
          <w:tcPr>
            <w:tcW w:w="918" w:type="dxa"/>
          </w:tcPr>
          <w:p w14:paraId="38732E07" w14:textId="77777777" w:rsidR="00BF6314" w:rsidRDefault="003E3176">
            <w:pPr>
              <w:pStyle w:val="CellColumn"/>
            </w:pPr>
            <w:r>
              <w:rPr>
                <w:rFonts w:cs="Times New Roman"/>
              </w:rPr>
              <w:t>100</w:t>
            </w:r>
          </w:p>
        </w:tc>
        <w:tc>
          <w:tcPr>
            <w:tcW w:w="918" w:type="dxa"/>
          </w:tcPr>
          <w:p w14:paraId="35B99A5C" w14:textId="77777777" w:rsidR="00BF6314" w:rsidRDefault="003E3176">
            <w:pPr>
              <w:pStyle w:val="CellColumn"/>
            </w:pPr>
            <w:r>
              <w:rPr>
                <w:rFonts w:cs="Times New Roman"/>
              </w:rPr>
              <w:t>100</w:t>
            </w:r>
          </w:p>
        </w:tc>
      </w:tr>
    </w:tbl>
    <w:p w14:paraId="02B584C6" w14:textId="77777777" w:rsidR="00BF6314" w:rsidRDefault="00BF6314">
      <w:pPr>
        <w:jc w:val="left"/>
      </w:pPr>
    </w:p>
    <w:p w14:paraId="08B3640B" w14:textId="77777777" w:rsidR="00BF6314" w:rsidRDefault="003E3176">
      <w:pPr>
        <w:pStyle w:val="Heading4"/>
      </w:pPr>
      <w:r>
        <w:t>A658038 ADMINISTRACIJA I UPRAVLJANJE</w:t>
      </w:r>
    </w:p>
    <w:p w14:paraId="6511B1BE" w14:textId="77777777" w:rsidR="00BF6314" w:rsidRDefault="003E3176">
      <w:pPr>
        <w:pStyle w:val="Heading8"/>
        <w:jc w:val="left"/>
      </w:pPr>
      <w:r>
        <w:t>Zakonske i druge pravne osnove</w:t>
      </w:r>
    </w:p>
    <w:p w14:paraId="72DCBC40" w14:textId="77777777" w:rsidR="00BF6314" w:rsidRDefault="003E3176">
      <w:pPr>
        <w:pStyle w:val="Normal5"/>
      </w:pPr>
      <w:r>
        <w:t xml:space="preserve">Zakon o službenoj statistici   </w:t>
      </w:r>
    </w:p>
    <w:p w14:paraId="192EC5EF" w14:textId="77777777" w:rsidR="00BF6314" w:rsidRDefault="003E3176">
      <w:pPr>
        <w:pStyle w:val="Normal5"/>
      </w:pPr>
      <w:r>
        <w:t>Godišnji provedbeni plan statističkih aktivnosti Republike Hrvatske</w:t>
      </w:r>
    </w:p>
    <w:tbl>
      <w:tblPr>
        <w:tblStyle w:val="StilTablice"/>
        <w:tblW w:w="10206" w:type="dxa"/>
        <w:jc w:val="center"/>
        <w:tblLook w:val="04A0" w:firstRow="1" w:lastRow="0" w:firstColumn="1" w:lastColumn="0" w:noHBand="0" w:noVBand="1"/>
      </w:tblPr>
      <w:tblGrid>
        <w:gridCol w:w="1792"/>
        <w:gridCol w:w="1488"/>
        <w:gridCol w:w="1489"/>
        <w:gridCol w:w="1489"/>
        <w:gridCol w:w="1489"/>
        <w:gridCol w:w="1489"/>
        <w:gridCol w:w="970"/>
      </w:tblGrid>
      <w:tr w:rsidR="00BF6314" w14:paraId="467C8853" w14:textId="77777777">
        <w:trPr>
          <w:jc w:val="center"/>
        </w:trPr>
        <w:tc>
          <w:tcPr>
            <w:tcW w:w="1530" w:type="dxa"/>
            <w:shd w:val="clear" w:color="auto" w:fill="B5C0D8"/>
          </w:tcPr>
          <w:p w14:paraId="326C1DD8" w14:textId="77777777" w:rsidR="00BF6314" w:rsidRDefault="003E3176">
            <w:pPr>
              <w:pStyle w:val="CellHeader"/>
            </w:pPr>
            <w:r>
              <w:rPr>
                <w:rFonts w:cs="Times New Roman"/>
              </w:rPr>
              <w:t>Naziv aktivnosti</w:t>
            </w:r>
          </w:p>
        </w:tc>
        <w:tc>
          <w:tcPr>
            <w:tcW w:w="1632" w:type="dxa"/>
            <w:shd w:val="clear" w:color="auto" w:fill="B5C0D8"/>
          </w:tcPr>
          <w:p w14:paraId="78C1ADE6" w14:textId="77777777" w:rsidR="00BF6314" w:rsidRDefault="003E3176">
            <w:pPr>
              <w:pStyle w:val="CellHeader"/>
            </w:pPr>
            <w:r>
              <w:rPr>
                <w:rFonts w:cs="Times New Roman"/>
              </w:rPr>
              <w:t>Izvršenje 2023. (eur)</w:t>
            </w:r>
          </w:p>
        </w:tc>
        <w:tc>
          <w:tcPr>
            <w:tcW w:w="1632" w:type="dxa"/>
            <w:shd w:val="clear" w:color="auto" w:fill="B5C0D8"/>
          </w:tcPr>
          <w:p w14:paraId="393946DE" w14:textId="77777777" w:rsidR="00BF6314" w:rsidRDefault="003E3176">
            <w:pPr>
              <w:pStyle w:val="CellHeader"/>
            </w:pPr>
            <w:r>
              <w:rPr>
                <w:rFonts w:cs="Times New Roman"/>
              </w:rPr>
              <w:t>Plan 2024. (eur)</w:t>
            </w:r>
          </w:p>
        </w:tc>
        <w:tc>
          <w:tcPr>
            <w:tcW w:w="1632" w:type="dxa"/>
            <w:shd w:val="clear" w:color="auto" w:fill="B5C0D8"/>
          </w:tcPr>
          <w:p w14:paraId="6560854B" w14:textId="77777777" w:rsidR="00BF6314" w:rsidRDefault="003E3176">
            <w:pPr>
              <w:pStyle w:val="CellHeader"/>
            </w:pPr>
            <w:r>
              <w:rPr>
                <w:rFonts w:cs="Times New Roman"/>
              </w:rPr>
              <w:t>Plan 2025. (eur)</w:t>
            </w:r>
          </w:p>
        </w:tc>
        <w:tc>
          <w:tcPr>
            <w:tcW w:w="1632" w:type="dxa"/>
            <w:shd w:val="clear" w:color="auto" w:fill="B5C0D8"/>
          </w:tcPr>
          <w:p w14:paraId="42E6757F" w14:textId="77777777" w:rsidR="00BF6314" w:rsidRDefault="003E3176">
            <w:pPr>
              <w:pStyle w:val="CellHeader"/>
            </w:pPr>
            <w:r>
              <w:rPr>
                <w:rFonts w:cs="Times New Roman"/>
              </w:rPr>
              <w:t>Plan 2026. (eur)</w:t>
            </w:r>
          </w:p>
        </w:tc>
        <w:tc>
          <w:tcPr>
            <w:tcW w:w="1632" w:type="dxa"/>
            <w:shd w:val="clear" w:color="auto" w:fill="B5C0D8"/>
          </w:tcPr>
          <w:p w14:paraId="1E366E84" w14:textId="77777777" w:rsidR="00BF6314" w:rsidRDefault="003E3176">
            <w:pPr>
              <w:pStyle w:val="CellHeader"/>
            </w:pPr>
            <w:r>
              <w:rPr>
                <w:rFonts w:cs="Times New Roman"/>
              </w:rPr>
              <w:t>Plan 2027. (eur)</w:t>
            </w:r>
          </w:p>
        </w:tc>
        <w:tc>
          <w:tcPr>
            <w:tcW w:w="510" w:type="dxa"/>
            <w:shd w:val="clear" w:color="auto" w:fill="B5C0D8"/>
          </w:tcPr>
          <w:p w14:paraId="293A8E94" w14:textId="77777777" w:rsidR="00BF6314" w:rsidRDefault="003E3176">
            <w:pPr>
              <w:pStyle w:val="CellHeader"/>
            </w:pPr>
            <w:r>
              <w:rPr>
                <w:rFonts w:cs="Times New Roman"/>
              </w:rPr>
              <w:t>Indeks 2025/2024</w:t>
            </w:r>
          </w:p>
        </w:tc>
      </w:tr>
      <w:tr w:rsidR="00BF6314" w14:paraId="4CC5901A" w14:textId="77777777">
        <w:trPr>
          <w:jc w:val="center"/>
        </w:trPr>
        <w:tc>
          <w:tcPr>
            <w:tcW w:w="1530" w:type="dxa"/>
          </w:tcPr>
          <w:p w14:paraId="3286B9B6" w14:textId="77777777" w:rsidR="00BF6314" w:rsidRDefault="003E3176">
            <w:pPr>
              <w:pStyle w:val="CellColumn"/>
            </w:pPr>
            <w:r>
              <w:rPr>
                <w:rFonts w:cs="Times New Roman"/>
              </w:rPr>
              <w:t>A658038-ADMINISTRACIJA I UPRAVLJANJE</w:t>
            </w:r>
          </w:p>
        </w:tc>
        <w:tc>
          <w:tcPr>
            <w:tcW w:w="1632" w:type="dxa"/>
          </w:tcPr>
          <w:p w14:paraId="758F419F" w14:textId="77777777" w:rsidR="00BF6314" w:rsidRDefault="003E3176">
            <w:pPr>
              <w:pStyle w:val="CellColumn"/>
            </w:pPr>
            <w:r>
              <w:rPr>
                <w:rFonts w:cs="Times New Roman"/>
              </w:rPr>
              <w:t>11.868.818</w:t>
            </w:r>
          </w:p>
        </w:tc>
        <w:tc>
          <w:tcPr>
            <w:tcW w:w="1632" w:type="dxa"/>
          </w:tcPr>
          <w:p w14:paraId="13D56E0B" w14:textId="77777777" w:rsidR="00BF6314" w:rsidRDefault="003E3176">
            <w:pPr>
              <w:pStyle w:val="CellColumn"/>
            </w:pPr>
            <w:r>
              <w:rPr>
                <w:rFonts w:cs="Times New Roman"/>
              </w:rPr>
              <w:t>16.115.070</w:t>
            </w:r>
          </w:p>
        </w:tc>
        <w:tc>
          <w:tcPr>
            <w:tcW w:w="1632" w:type="dxa"/>
          </w:tcPr>
          <w:p w14:paraId="7DEB6A71" w14:textId="77777777" w:rsidR="00BF6314" w:rsidRDefault="003E3176">
            <w:pPr>
              <w:pStyle w:val="CellColumn"/>
            </w:pPr>
            <w:r>
              <w:rPr>
                <w:rFonts w:cs="Times New Roman"/>
              </w:rPr>
              <w:t>19.400.627</w:t>
            </w:r>
          </w:p>
        </w:tc>
        <w:tc>
          <w:tcPr>
            <w:tcW w:w="1632" w:type="dxa"/>
          </w:tcPr>
          <w:p w14:paraId="4B5F7812" w14:textId="77777777" w:rsidR="00BF6314" w:rsidRDefault="003E3176">
            <w:pPr>
              <w:pStyle w:val="CellColumn"/>
            </w:pPr>
            <w:r>
              <w:rPr>
                <w:rFonts w:cs="Times New Roman"/>
              </w:rPr>
              <w:t>20.341.455</w:t>
            </w:r>
          </w:p>
        </w:tc>
        <w:tc>
          <w:tcPr>
            <w:tcW w:w="1632" w:type="dxa"/>
          </w:tcPr>
          <w:p w14:paraId="288E30AB" w14:textId="77777777" w:rsidR="00BF6314" w:rsidRDefault="003E3176">
            <w:pPr>
              <w:pStyle w:val="CellColumn"/>
            </w:pPr>
            <w:r>
              <w:rPr>
                <w:rFonts w:cs="Times New Roman"/>
              </w:rPr>
              <w:t>21.564.321</w:t>
            </w:r>
          </w:p>
        </w:tc>
        <w:tc>
          <w:tcPr>
            <w:tcW w:w="510" w:type="dxa"/>
          </w:tcPr>
          <w:p w14:paraId="71EDD9B3" w14:textId="77777777" w:rsidR="00BF6314" w:rsidRDefault="003E3176">
            <w:pPr>
              <w:pStyle w:val="CellColumn"/>
            </w:pPr>
            <w:r>
              <w:rPr>
                <w:rFonts w:cs="Times New Roman"/>
              </w:rPr>
              <w:t>120,4</w:t>
            </w:r>
          </w:p>
        </w:tc>
      </w:tr>
    </w:tbl>
    <w:p w14:paraId="52361AD3" w14:textId="77777777" w:rsidR="00BF6314" w:rsidRDefault="00BF6314">
      <w:pPr>
        <w:jc w:val="left"/>
      </w:pPr>
    </w:p>
    <w:p w14:paraId="00AFE148" w14:textId="77777777" w:rsidR="00BF6314" w:rsidRDefault="003E3176">
      <w:r>
        <w:t xml:space="preserve">Administracija i upravljanje osigurava obavljanje funkcionalne djelatnosti Zavoda u cilju osiguranja nacionalnih potreba za statističkim podacima te harmonizacije statističkog sustava RH s pravnom stečevinom EU, obavljanje poslovanja na pravilan, ekonomičan, učinkovit i djelotvoran način, usklađenost poslovanja sa zakonima, propisima i planovima, zaštita imovine i drugih resursa, pravodobno financijsko izvješćivanje i praćenje rezultata poslovanja. U okviru navedene aktivnosti planirani su rashodi za plaće, doprinosi na plaću i ostali rashodi za sve zaposlene u skladu sa unutarnjim ustrojstvom Zavoda, materijalni rashodi potrebni za uredno i redovno obavljanje poslova i zadataka prema Programu statističkih aktivnosti RH i rashodi za nabavu neproizvedene i proizvedene dugotrajne imovine.     </w:t>
      </w:r>
    </w:p>
    <w:p w14:paraId="76622559" w14:textId="77777777" w:rsidR="00BF6314" w:rsidRDefault="003E3176">
      <w:r>
        <w:t xml:space="preserve">U 2025. godini planirana su sredstva za rashode za zaposlene u iznosu od 16.770.781 EUR, za materijalne rashode u iznosu od 2.562.821 EUR te rashode za nabavu proizvedene dugotrajne imovine u iznosu od 56.825 EUR. Preostali rashodi odnose se na financijske rashode u iznosu od 200 EUR te naknade građanima i kućanstvima u novcu (školarine) u iznosu od 10.000 EUR.   </w:t>
      </w:r>
    </w:p>
    <w:p w14:paraId="2E3FCF41" w14:textId="77777777" w:rsidR="00BF6314" w:rsidRDefault="003E3176">
      <w:r>
        <w:t xml:space="preserve">U 2026. godini planirana su sredstva za rashode za zaposlene u iznosu od 18.109.397 EUR, za materijalne rashode u iznosu od 2.191.426 EUR te rashode za nabavu proizvedene dugotrajne imovine u iznosu od 30.432 EUR. Preostali rashodi odnose se na financijske rashode u iznosu od 200 EUR te naknade građanima i kućanstvima u novcu (školarine) u iznosu od 10.000 EUR.  </w:t>
      </w:r>
    </w:p>
    <w:p w14:paraId="60FEC2A8" w14:textId="77777777" w:rsidR="00BF6314" w:rsidRDefault="003E3176">
      <w:r>
        <w:lastRenderedPageBreak/>
        <w:t>U 2027. godini planirana su sredstva za rashode za zaposlene u iznosu od 21.564.321 EUR, za materijalne rashode u iznosu od 2.035.845 EUR te rashode za nabavu proizvedene dugotrajne imovine u iznosu od 29.848 EUR. Preostali rashodi odnose se na financijske rashode u iznosu od 200 EUR te naknade građanima i kućanstvima u novcu (školarine) u iznosu od 10.000 EUR.</w:t>
      </w:r>
    </w:p>
    <w:p w14:paraId="287EA344" w14:textId="77777777" w:rsidR="00BF6314" w:rsidRDefault="003E3176">
      <w:pPr>
        <w:pStyle w:val="Heading4"/>
      </w:pPr>
      <w:r>
        <w:t>A658057 STATISTIKE ZAŠTITE OKOLIŠA I ENERGIJE</w:t>
      </w:r>
    </w:p>
    <w:p w14:paraId="1D4A2153" w14:textId="77777777" w:rsidR="00BF6314" w:rsidRDefault="003E3176">
      <w:pPr>
        <w:pStyle w:val="Heading8"/>
        <w:jc w:val="left"/>
      </w:pPr>
      <w:r>
        <w:t>Zakonske i druge pravne osnove</w:t>
      </w:r>
    </w:p>
    <w:p w14:paraId="3FED3AC7" w14:textId="77777777" w:rsidR="00BF6314" w:rsidRDefault="003E3176">
      <w:pPr>
        <w:pStyle w:val="Normal5"/>
      </w:pPr>
      <w:r>
        <w:t xml:space="preserve">Zakon o službenoj statistici     </w:t>
      </w:r>
    </w:p>
    <w:p w14:paraId="0AF4C507" w14:textId="77777777" w:rsidR="00BF6314" w:rsidRDefault="003E3176">
      <w:pPr>
        <w:pStyle w:val="Normal5"/>
      </w:pPr>
      <w:r>
        <w:t xml:space="preserve">Godišnji provedbeni plan statističkih aktivnosti Republike Hrvatske    </w:t>
      </w:r>
    </w:p>
    <w:p w14:paraId="6B376420" w14:textId="77777777" w:rsidR="00BF6314" w:rsidRDefault="003E3176">
      <w:pPr>
        <w:pStyle w:val="Normal5"/>
      </w:pPr>
      <w:r>
        <w:t xml:space="preserve">Uredba (EU) br. 691/2011 Europskog parlamenta i Vijeća od 6. srpnja 2011. o europskim ekonomskim računima okoliša    </w:t>
      </w:r>
    </w:p>
    <w:p w14:paraId="4708FD83" w14:textId="77777777" w:rsidR="00BF6314" w:rsidRDefault="003E3176">
      <w:pPr>
        <w:pStyle w:val="Normal5"/>
      </w:pPr>
      <w:r>
        <w:t xml:space="preserve">Uredba (EZ) br. 1099/2008 Europskog Parlamenta i Vijeća od 22. listopada 2008. o energetskoj statistici (konsolidirana verzija)   </w:t>
      </w:r>
    </w:p>
    <w:p w14:paraId="3EF254FE" w14:textId="77777777" w:rsidR="00BF6314" w:rsidRDefault="003E3176">
      <w:pPr>
        <w:pStyle w:val="Normal5"/>
      </w:pPr>
      <w:r>
        <w:t xml:space="preserve">Uredba Komisije (EU) 2022/132 od 28. siječnja 2022. o izmjeni Uredbe (EZ) br. 1099/2008 Europskog parlamenta i Vijeća o energetskoj statistici u pogledu provedbe ažuriranja godišnje, mjesečne i kratkoročne mjesečne energetske statistike </w:t>
      </w:r>
    </w:p>
    <w:p w14:paraId="71B37C45" w14:textId="77777777" w:rsidR="00BF6314" w:rsidRDefault="003E3176">
      <w:pPr>
        <w:pStyle w:val="Normal5"/>
      </w:pPr>
      <w:r>
        <w:t>Uredba Komisije (EU) 2024/264 od 17. siječnja 2024. o izmjeni Uredbe (EZ) br. 1099/2008 Europskog parlamenta i Vijeća o energetskoj statistici u pogledu provedbe ažuriranja godišnje, mjesečne i kratkoročne mjesečne energetske statistike</w:t>
      </w:r>
    </w:p>
    <w:tbl>
      <w:tblPr>
        <w:tblStyle w:val="StilTablice"/>
        <w:tblW w:w="10206" w:type="dxa"/>
        <w:jc w:val="center"/>
        <w:tblLook w:val="04A0" w:firstRow="1" w:lastRow="0" w:firstColumn="1" w:lastColumn="0" w:noHBand="0" w:noVBand="1"/>
      </w:tblPr>
      <w:tblGrid>
        <w:gridCol w:w="1503"/>
        <w:gridCol w:w="1553"/>
        <w:gridCol w:w="1545"/>
        <w:gridCol w:w="1545"/>
        <w:gridCol w:w="1545"/>
        <w:gridCol w:w="1545"/>
        <w:gridCol w:w="970"/>
      </w:tblGrid>
      <w:tr w:rsidR="00BF6314" w14:paraId="1AFD5CE8" w14:textId="77777777">
        <w:trPr>
          <w:jc w:val="center"/>
        </w:trPr>
        <w:tc>
          <w:tcPr>
            <w:tcW w:w="1530" w:type="dxa"/>
            <w:shd w:val="clear" w:color="auto" w:fill="B5C0D8"/>
          </w:tcPr>
          <w:p w14:paraId="0DB367C5" w14:textId="77777777" w:rsidR="00BF6314" w:rsidRDefault="003E3176">
            <w:pPr>
              <w:pStyle w:val="CellHeader"/>
            </w:pPr>
            <w:r>
              <w:rPr>
                <w:rFonts w:cs="Times New Roman"/>
              </w:rPr>
              <w:t>Naziv aktivnosti</w:t>
            </w:r>
          </w:p>
        </w:tc>
        <w:tc>
          <w:tcPr>
            <w:tcW w:w="1632" w:type="dxa"/>
            <w:shd w:val="clear" w:color="auto" w:fill="B5C0D8"/>
          </w:tcPr>
          <w:p w14:paraId="36A0980E" w14:textId="77777777" w:rsidR="00BF6314" w:rsidRDefault="003E3176">
            <w:pPr>
              <w:pStyle w:val="CellHeader"/>
            </w:pPr>
            <w:r>
              <w:rPr>
                <w:rFonts w:cs="Times New Roman"/>
              </w:rPr>
              <w:t>Izvršenje 2023. (eur)</w:t>
            </w:r>
          </w:p>
        </w:tc>
        <w:tc>
          <w:tcPr>
            <w:tcW w:w="1632" w:type="dxa"/>
            <w:shd w:val="clear" w:color="auto" w:fill="B5C0D8"/>
          </w:tcPr>
          <w:p w14:paraId="49F6205C" w14:textId="77777777" w:rsidR="00BF6314" w:rsidRDefault="003E3176">
            <w:pPr>
              <w:pStyle w:val="CellHeader"/>
            </w:pPr>
            <w:r>
              <w:rPr>
                <w:rFonts w:cs="Times New Roman"/>
              </w:rPr>
              <w:t>Plan 2024. (eur)</w:t>
            </w:r>
          </w:p>
        </w:tc>
        <w:tc>
          <w:tcPr>
            <w:tcW w:w="1632" w:type="dxa"/>
            <w:shd w:val="clear" w:color="auto" w:fill="B5C0D8"/>
          </w:tcPr>
          <w:p w14:paraId="02444A02" w14:textId="77777777" w:rsidR="00BF6314" w:rsidRDefault="003E3176">
            <w:pPr>
              <w:pStyle w:val="CellHeader"/>
            </w:pPr>
            <w:r>
              <w:rPr>
                <w:rFonts w:cs="Times New Roman"/>
              </w:rPr>
              <w:t>Plan 2025. (eur)</w:t>
            </w:r>
          </w:p>
        </w:tc>
        <w:tc>
          <w:tcPr>
            <w:tcW w:w="1632" w:type="dxa"/>
            <w:shd w:val="clear" w:color="auto" w:fill="B5C0D8"/>
          </w:tcPr>
          <w:p w14:paraId="10D7E760" w14:textId="77777777" w:rsidR="00BF6314" w:rsidRDefault="003E3176">
            <w:pPr>
              <w:pStyle w:val="CellHeader"/>
            </w:pPr>
            <w:r>
              <w:rPr>
                <w:rFonts w:cs="Times New Roman"/>
              </w:rPr>
              <w:t>Plan 2026. (eur)</w:t>
            </w:r>
          </w:p>
        </w:tc>
        <w:tc>
          <w:tcPr>
            <w:tcW w:w="1632" w:type="dxa"/>
            <w:shd w:val="clear" w:color="auto" w:fill="B5C0D8"/>
          </w:tcPr>
          <w:p w14:paraId="45D40DA4" w14:textId="77777777" w:rsidR="00BF6314" w:rsidRDefault="003E3176">
            <w:pPr>
              <w:pStyle w:val="CellHeader"/>
            </w:pPr>
            <w:r>
              <w:rPr>
                <w:rFonts w:cs="Times New Roman"/>
              </w:rPr>
              <w:t>Plan 2027. (eur)</w:t>
            </w:r>
          </w:p>
        </w:tc>
        <w:tc>
          <w:tcPr>
            <w:tcW w:w="510" w:type="dxa"/>
            <w:shd w:val="clear" w:color="auto" w:fill="B5C0D8"/>
          </w:tcPr>
          <w:p w14:paraId="731C2D28" w14:textId="77777777" w:rsidR="00BF6314" w:rsidRDefault="003E3176">
            <w:pPr>
              <w:pStyle w:val="CellHeader"/>
            </w:pPr>
            <w:r>
              <w:rPr>
                <w:rFonts w:cs="Times New Roman"/>
              </w:rPr>
              <w:t>Indeks 2025/2024</w:t>
            </w:r>
          </w:p>
        </w:tc>
      </w:tr>
      <w:tr w:rsidR="00BF6314" w14:paraId="7ECB81B5" w14:textId="77777777">
        <w:trPr>
          <w:jc w:val="center"/>
        </w:trPr>
        <w:tc>
          <w:tcPr>
            <w:tcW w:w="1530" w:type="dxa"/>
          </w:tcPr>
          <w:p w14:paraId="04E1F00D" w14:textId="77777777" w:rsidR="00BF6314" w:rsidRDefault="003E3176">
            <w:pPr>
              <w:pStyle w:val="CellColumn"/>
            </w:pPr>
            <w:r>
              <w:rPr>
                <w:rFonts w:cs="Times New Roman"/>
              </w:rPr>
              <w:t>A658057-STATISTIKE ZAŠTITE OKOLIŠA I ENERGIJE</w:t>
            </w:r>
          </w:p>
        </w:tc>
        <w:tc>
          <w:tcPr>
            <w:tcW w:w="1632" w:type="dxa"/>
          </w:tcPr>
          <w:p w14:paraId="6AC2C5F0" w14:textId="77777777" w:rsidR="00BF6314" w:rsidRDefault="003E3176">
            <w:pPr>
              <w:pStyle w:val="CellColumn"/>
            </w:pPr>
            <w:r>
              <w:rPr>
                <w:rFonts w:cs="Times New Roman"/>
              </w:rPr>
              <w:t>103.272</w:t>
            </w:r>
          </w:p>
        </w:tc>
        <w:tc>
          <w:tcPr>
            <w:tcW w:w="1632" w:type="dxa"/>
          </w:tcPr>
          <w:p w14:paraId="4D307043" w14:textId="77777777" w:rsidR="00BF6314" w:rsidRDefault="003E3176">
            <w:pPr>
              <w:pStyle w:val="CellColumn"/>
            </w:pPr>
            <w:r>
              <w:rPr>
                <w:rFonts w:cs="Times New Roman"/>
              </w:rPr>
              <w:t>103.358</w:t>
            </w:r>
          </w:p>
        </w:tc>
        <w:tc>
          <w:tcPr>
            <w:tcW w:w="1632" w:type="dxa"/>
          </w:tcPr>
          <w:p w14:paraId="564F9FA4" w14:textId="77777777" w:rsidR="00BF6314" w:rsidRDefault="003E3176">
            <w:pPr>
              <w:pStyle w:val="CellColumn"/>
            </w:pPr>
            <w:r>
              <w:rPr>
                <w:rFonts w:cs="Times New Roman"/>
              </w:rPr>
              <w:t>122.500</w:t>
            </w:r>
          </w:p>
        </w:tc>
        <w:tc>
          <w:tcPr>
            <w:tcW w:w="1632" w:type="dxa"/>
          </w:tcPr>
          <w:p w14:paraId="47AC4699" w14:textId="77777777" w:rsidR="00BF6314" w:rsidRDefault="003E3176">
            <w:pPr>
              <w:pStyle w:val="CellColumn"/>
            </w:pPr>
            <w:r>
              <w:rPr>
                <w:rFonts w:cs="Times New Roman"/>
              </w:rPr>
              <w:t>122.500</w:t>
            </w:r>
          </w:p>
        </w:tc>
        <w:tc>
          <w:tcPr>
            <w:tcW w:w="1632" w:type="dxa"/>
          </w:tcPr>
          <w:p w14:paraId="371D2443" w14:textId="77777777" w:rsidR="00BF6314" w:rsidRDefault="003E3176">
            <w:pPr>
              <w:pStyle w:val="CellColumn"/>
            </w:pPr>
            <w:r>
              <w:rPr>
                <w:rFonts w:cs="Times New Roman"/>
              </w:rPr>
              <w:t>122.500</w:t>
            </w:r>
          </w:p>
        </w:tc>
        <w:tc>
          <w:tcPr>
            <w:tcW w:w="510" w:type="dxa"/>
          </w:tcPr>
          <w:p w14:paraId="7404FF85" w14:textId="77777777" w:rsidR="00BF6314" w:rsidRDefault="003E3176">
            <w:pPr>
              <w:pStyle w:val="CellColumn"/>
            </w:pPr>
            <w:r>
              <w:rPr>
                <w:rFonts w:cs="Times New Roman"/>
              </w:rPr>
              <w:t>118,5</w:t>
            </w:r>
          </w:p>
        </w:tc>
      </w:tr>
    </w:tbl>
    <w:p w14:paraId="603BE846" w14:textId="77777777" w:rsidR="00BF6314" w:rsidRDefault="00BF6314">
      <w:pPr>
        <w:jc w:val="left"/>
      </w:pPr>
    </w:p>
    <w:p w14:paraId="754AB871" w14:textId="77777777" w:rsidR="00BF6314" w:rsidRDefault="003E3176">
      <w:r>
        <w:t xml:space="preserve">U sklopu ove aktivnosti predviđena je nabava usluga izračuna emisija u zrak i izrada računa fizičkog toka energije te izrada godišnjih energetskih statistika, uključujući Energetsku bilancu Republike Hrvatske, u svrhu ispunjenja obveza preuzetih ulaskom Republike Hrvatske u Europsku uniju iz pravne stečevine iz područja statistika zaštite okoliša i energije.    </w:t>
      </w:r>
    </w:p>
    <w:p w14:paraId="4E92C049" w14:textId="77777777" w:rsidR="00BF6314" w:rsidRDefault="003E3176">
      <w:r>
        <w:t xml:space="preserve">Emisije u zrak i račun fizičkog toka energije su dva od šest modula europskih ekonomskih računa okoliša koje Republika Hrvatska temeljem Uredbe (EU) br. 691/2011 Europskog parlamenta i Vijeća od 6. srpnja 2011. o europskim ekonomskim računima okoliša treba dostaviti Eurostatu u definiranim rokovima.    </w:t>
      </w:r>
    </w:p>
    <w:p w14:paraId="6EE78676" w14:textId="77777777" w:rsidR="00BF6314" w:rsidRDefault="003E3176">
      <w:r>
        <w:t xml:space="preserve">Izrada izračuna emisija u zrak Republike Hrvatske i ponovni izračun dijela stavke za povezivanje – ostala usklađivanja i statistička odstupanja povjerava se na izradu vanjskim stručnjacima koji izrađuju godišnje Izvješće o inventaru stakleničkih plinova na području Republike Hrvatske. Podaci iz Izvješća o inventaru stakleničkih plinova na području Republike Hrvatske (NIR) se koriste u Izračunu emisija u zrak koje je Zavod obvezan dostaviti u Eurostat.    </w:t>
      </w:r>
    </w:p>
    <w:p w14:paraId="431E43D2" w14:textId="77777777" w:rsidR="00BF6314" w:rsidRDefault="003E3176">
      <w:r>
        <w:t xml:space="preserve">Izrada izračuna fizičkog toka energije za Republiku Hrvatsku i izrada godišnjih energetskih statistika povjerava se na izradu vanjskim stručnjacima.   </w:t>
      </w:r>
    </w:p>
    <w:p w14:paraId="7B1C98F1" w14:textId="77777777" w:rsidR="00BF6314" w:rsidRDefault="003E3176">
      <w:r>
        <w:t xml:space="preserve">U 2025. za nabavu usluge izračuna emisija u zrak Republike Hrvatske za 2023. i ponovni izračun dijela stavke za povezivanje – ostala usklađivanja i statistička odstupanja za razdoblje 2006.-2022. planirano je 15.000 EUR, a za nabavu usluge izračuna fizičkog toka energije za Republiku Hrvatsku za 2023. i usluge izrade godišnjih energetskih statistika za 2024. i 2023. za Republiku Hrvatsku planirano je 107.500 EUR.    </w:t>
      </w:r>
    </w:p>
    <w:p w14:paraId="13244499" w14:textId="77777777" w:rsidR="00BF6314" w:rsidRDefault="003E3176">
      <w:r>
        <w:t xml:space="preserve">U 2026. za nabavu usluge izračuna emisija u zrak Republike Hrvatske za 2024. i ponovni izračun dijela stavke za povezivanje – ostala usklađivanja i statistička odstupanja za razdoblje 2006.-2023. planirano je 15.000 EUR, a za nabavu usluge izračuna fizičkog toka energije za Republiku Hrvatsku za 2024. i usluge izrade godišnjih energetskih statistika za 2025. i 2024. za Republiku Hrvatsku planirano je 107.500 EUR.  </w:t>
      </w:r>
    </w:p>
    <w:p w14:paraId="71685C8C" w14:textId="77777777" w:rsidR="00BF6314" w:rsidRDefault="003E3176">
      <w:r>
        <w:lastRenderedPageBreak/>
        <w:t>U 2027. za nabavu usluge izračuna emisija u zrak Republike Hrvatske za 2025. i ponovni izračun dijela stavke za povezivanje – ostala usklađivanja i statistička odstupanja za razdoblje 2006.-2024. planirano je 15.000 EUR, a za nabavu usluge izračuna fizičkog toka energije za Republiku Hrvatsku za 2025. i usluge izrade godišnjih energetskih statistika za 2026. i 2025. za Republiku Hrvatsku planirano je 107.500 EUR.</w:t>
      </w:r>
    </w:p>
    <w:p w14:paraId="4BB36530" w14:textId="77777777" w:rsidR="00BF6314" w:rsidRDefault="003E3176">
      <w:pPr>
        <w:pStyle w:val="Heading8"/>
        <w:jc w:val="left"/>
      </w:pPr>
      <w:r>
        <w:t>Pokazatelji rezultata</w:t>
      </w:r>
    </w:p>
    <w:tbl>
      <w:tblPr>
        <w:tblStyle w:val="StilTablice"/>
        <w:tblW w:w="10206" w:type="dxa"/>
        <w:jc w:val="center"/>
        <w:tblLook w:val="04A0" w:firstRow="1" w:lastRow="0" w:firstColumn="1" w:lastColumn="0" w:noHBand="0" w:noVBand="1"/>
      </w:tblPr>
      <w:tblGrid>
        <w:gridCol w:w="1793"/>
        <w:gridCol w:w="1868"/>
        <w:gridCol w:w="1718"/>
        <w:gridCol w:w="917"/>
        <w:gridCol w:w="1159"/>
        <w:gridCol w:w="917"/>
        <w:gridCol w:w="917"/>
        <w:gridCol w:w="917"/>
      </w:tblGrid>
      <w:tr w:rsidR="00BF6314" w14:paraId="23DBFB33" w14:textId="77777777">
        <w:trPr>
          <w:jc w:val="center"/>
        </w:trPr>
        <w:tc>
          <w:tcPr>
            <w:tcW w:w="2245" w:type="dxa"/>
            <w:shd w:val="clear" w:color="auto" w:fill="B5C0D8"/>
          </w:tcPr>
          <w:p w14:paraId="3C3DC5DE" w14:textId="77777777" w:rsidR="00BF6314" w:rsidRDefault="003E3176">
            <w:r>
              <w:t>Pokazatelj rezultata</w:t>
            </w:r>
          </w:p>
        </w:tc>
        <w:tc>
          <w:tcPr>
            <w:tcW w:w="2245" w:type="dxa"/>
            <w:shd w:val="clear" w:color="auto" w:fill="B5C0D8"/>
          </w:tcPr>
          <w:p w14:paraId="28DCB0EA" w14:textId="77777777" w:rsidR="00BF6314" w:rsidRDefault="003E3176">
            <w:pPr>
              <w:pStyle w:val="CellHeader"/>
            </w:pPr>
            <w:r>
              <w:rPr>
                <w:rFonts w:cs="Times New Roman"/>
              </w:rPr>
              <w:t>Definicija</w:t>
            </w:r>
          </w:p>
        </w:tc>
        <w:tc>
          <w:tcPr>
            <w:tcW w:w="2245" w:type="dxa"/>
            <w:shd w:val="clear" w:color="auto" w:fill="B5C0D8"/>
          </w:tcPr>
          <w:p w14:paraId="357BBDA0" w14:textId="77777777" w:rsidR="00BF6314" w:rsidRDefault="003E3176">
            <w:pPr>
              <w:pStyle w:val="CellHeader"/>
            </w:pPr>
            <w:r>
              <w:rPr>
                <w:rFonts w:cs="Times New Roman"/>
              </w:rPr>
              <w:t>Jedinica</w:t>
            </w:r>
          </w:p>
        </w:tc>
        <w:tc>
          <w:tcPr>
            <w:tcW w:w="918" w:type="dxa"/>
            <w:shd w:val="clear" w:color="auto" w:fill="B5C0D8"/>
          </w:tcPr>
          <w:p w14:paraId="67267AF0" w14:textId="77777777" w:rsidR="00BF6314" w:rsidRDefault="003E3176">
            <w:pPr>
              <w:pStyle w:val="CellHeader"/>
            </w:pPr>
            <w:r>
              <w:rPr>
                <w:rFonts w:cs="Times New Roman"/>
              </w:rPr>
              <w:t>Polazna vrijednost</w:t>
            </w:r>
          </w:p>
        </w:tc>
        <w:tc>
          <w:tcPr>
            <w:tcW w:w="918" w:type="dxa"/>
            <w:shd w:val="clear" w:color="auto" w:fill="B5C0D8"/>
          </w:tcPr>
          <w:p w14:paraId="4A4744E5" w14:textId="77777777" w:rsidR="00BF6314" w:rsidRDefault="003E3176">
            <w:pPr>
              <w:pStyle w:val="CellHeader"/>
            </w:pPr>
            <w:r>
              <w:rPr>
                <w:rFonts w:cs="Times New Roman"/>
              </w:rPr>
              <w:t>Izvor podataka</w:t>
            </w:r>
          </w:p>
        </w:tc>
        <w:tc>
          <w:tcPr>
            <w:tcW w:w="918" w:type="dxa"/>
            <w:shd w:val="clear" w:color="auto" w:fill="B5C0D8"/>
          </w:tcPr>
          <w:p w14:paraId="2B2ADAC3" w14:textId="77777777" w:rsidR="00BF6314" w:rsidRDefault="003E3176">
            <w:pPr>
              <w:pStyle w:val="CellHeader"/>
            </w:pPr>
            <w:r>
              <w:rPr>
                <w:rFonts w:cs="Times New Roman"/>
              </w:rPr>
              <w:t>Ciljana vrijednost (2025.)</w:t>
            </w:r>
          </w:p>
        </w:tc>
        <w:tc>
          <w:tcPr>
            <w:tcW w:w="918" w:type="dxa"/>
            <w:shd w:val="clear" w:color="auto" w:fill="B5C0D8"/>
          </w:tcPr>
          <w:p w14:paraId="26172EF4" w14:textId="77777777" w:rsidR="00BF6314" w:rsidRDefault="003E3176">
            <w:pPr>
              <w:pStyle w:val="CellHeader"/>
            </w:pPr>
            <w:r>
              <w:rPr>
                <w:rFonts w:cs="Times New Roman"/>
              </w:rPr>
              <w:t>Ciljana vrijednost (2026.)</w:t>
            </w:r>
          </w:p>
        </w:tc>
        <w:tc>
          <w:tcPr>
            <w:tcW w:w="918" w:type="dxa"/>
            <w:shd w:val="clear" w:color="auto" w:fill="B5C0D8"/>
          </w:tcPr>
          <w:p w14:paraId="6270FE63" w14:textId="77777777" w:rsidR="00BF6314" w:rsidRDefault="003E3176">
            <w:pPr>
              <w:pStyle w:val="CellHeader"/>
            </w:pPr>
            <w:r>
              <w:rPr>
                <w:rFonts w:cs="Times New Roman"/>
              </w:rPr>
              <w:t>Ciljana vrijednost (2027.)</w:t>
            </w:r>
          </w:p>
        </w:tc>
      </w:tr>
      <w:tr w:rsidR="00BF6314" w14:paraId="28A32C7E" w14:textId="77777777">
        <w:trPr>
          <w:jc w:val="center"/>
        </w:trPr>
        <w:tc>
          <w:tcPr>
            <w:tcW w:w="2245" w:type="dxa"/>
          </w:tcPr>
          <w:p w14:paraId="4940A832" w14:textId="77777777" w:rsidR="00BF6314" w:rsidRDefault="003E3176">
            <w:pPr>
              <w:pStyle w:val="CellColumn"/>
            </w:pPr>
            <w:r>
              <w:rPr>
                <w:rFonts w:cs="Times New Roman"/>
              </w:rPr>
              <w:t>Udio izvršenih statističkih aktivnosti statistika zaštite okoliša i energije u odnosu na planirane</w:t>
            </w:r>
          </w:p>
        </w:tc>
        <w:tc>
          <w:tcPr>
            <w:tcW w:w="2245" w:type="dxa"/>
          </w:tcPr>
          <w:p w14:paraId="508169BE" w14:textId="77777777" w:rsidR="00BF6314" w:rsidRDefault="003E3176">
            <w:pPr>
              <w:pStyle w:val="CellColumn"/>
            </w:pPr>
            <w:r>
              <w:rPr>
                <w:rFonts w:cs="Times New Roman"/>
              </w:rPr>
              <w:t>Izvršavanjem statističkih aktivnosti statistika zaštite okoliša i energije će se izraditi izračun emisija u zrak, račun fizičkog toka energije te godišnja energetska statistika, što je preduvjet za ispunjenje obveza proizašlih iz pravne stečevine EU u području statistika zaštite okoliša i energije</w:t>
            </w:r>
          </w:p>
        </w:tc>
        <w:tc>
          <w:tcPr>
            <w:tcW w:w="918" w:type="dxa"/>
          </w:tcPr>
          <w:p w14:paraId="0FC2873A" w14:textId="77777777" w:rsidR="00BF6314" w:rsidRDefault="003E3176">
            <w:pPr>
              <w:pStyle w:val="CellColumn"/>
            </w:pPr>
            <w:r>
              <w:rPr>
                <w:rFonts w:cs="Times New Roman"/>
              </w:rPr>
              <w:t>%</w:t>
            </w:r>
          </w:p>
        </w:tc>
        <w:tc>
          <w:tcPr>
            <w:tcW w:w="918" w:type="dxa"/>
          </w:tcPr>
          <w:p w14:paraId="34CA7072" w14:textId="77777777" w:rsidR="00BF6314" w:rsidRDefault="003E3176">
            <w:pPr>
              <w:pStyle w:val="CellColumn"/>
            </w:pPr>
            <w:r>
              <w:rPr>
                <w:rFonts w:cs="Times New Roman"/>
              </w:rPr>
              <w:t>100</w:t>
            </w:r>
          </w:p>
        </w:tc>
        <w:tc>
          <w:tcPr>
            <w:tcW w:w="918" w:type="dxa"/>
          </w:tcPr>
          <w:p w14:paraId="55489DFA" w14:textId="77777777" w:rsidR="00BF6314" w:rsidRDefault="003E3176">
            <w:pPr>
              <w:pStyle w:val="CellColumn"/>
            </w:pPr>
            <w:r>
              <w:rPr>
                <w:rFonts w:cs="Times New Roman"/>
              </w:rPr>
              <w:t>Izvješće o izvršenju Godišnjega provedbenog plana statističkih aktivnosti Republike Hrvatske</w:t>
            </w:r>
          </w:p>
        </w:tc>
        <w:tc>
          <w:tcPr>
            <w:tcW w:w="918" w:type="dxa"/>
          </w:tcPr>
          <w:p w14:paraId="5DE1747B" w14:textId="77777777" w:rsidR="00BF6314" w:rsidRDefault="003E3176">
            <w:pPr>
              <w:pStyle w:val="CellColumn"/>
            </w:pPr>
            <w:r>
              <w:rPr>
                <w:rFonts w:cs="Times New Roman"/>
              </w:rPr>
              <w:t>100</w:t>
            </w:r>
          </w:p>
        </w:tc>
        <w:tc>
          <w:tcPr>
            <w:tcW w:w="918" w:type="dxa"/>
          </w:tcPr>
          <w:p w14:paraId="2D3E8BC5" w14:textId="77777777" w:rsidR="00BF6314" w:rsidRDefault="003E3176">
            <w:pPr>
              <w:pStyle w:val="CellColumn"/>
            </w:pPr>
            <w:r>
              <w:rPr>
                <w:rFonts w:cs="Times New Roman"/>
              </w:rPr>
              <w:t>100</w:t>
            </w:r>
          </w:p>
        </w:tc>
        <w:tc>
          <w:tcPr>
            <w:tcW w:w="918" w:type="dxa"/>
          </w:tcPr>
          <w:p w14:paraId="5384CC6C" w14:textId="77777777" w:rsidR="00BF6314" w:rsidRDefault="003E3176">
            <w:pPr>
              <w:pStyle w:val="CellColumn"/>
            </w:pPr>
            <w:r>
              <w:rPr>
                <w:rFonts w:cs="Times New Roman"/>
              </w:rPr>
              <w:t>100</w:t>
            </w:r>
          </w:p>
        </w:tc>
      </w:tr>
    </w:tbl>
    <w:p w14:paraId="16EEAEC6" w14:textId="77777777" w:rsidR="00BF6314" w:rsidRDefault="00BF6314">
      <w:pPr>
        <w:jc w:val="left"/>
      </w:pPr>
    </w:p>
    <w:p w14:paraId="5DB3A2F7" w14:textId="77777777" w:rsidR="00BF6314" w:rsidRDefault="003E3176">
      <w:pPr>
        <w:pStyle w:val="Heading4"/>
      </w:pPr>
      <w:r>
        <w:t>A658063 PROCJENA BILJNE I STOČNE PROIZVODNJE</w:t>
      </w:r>
    </w:p>
    <w:p w14:paraId="4F7FD10B" w14:textId="77777777" w:rsidR="00BF6314" w:rsidRDefault="003E3176">
      <w:pPr>
        <w:pStyle w:val="Heading8"/>
        <w:jc w:val="left"/>
      </w:pPr>
      <w:r>
        <w:t>Zakonske i druge pravne osnove</w:t>
      </w:r>
    </w:p>
    <w:p w14:paraId="758381BD" w14:textId="77777777" w:rsidR="00BF6314" w:rsidRDefault="003E3176">
      <w:pPr>
        <w:pStyle w:val="Normal5"/>
      </w:pPr>
      <w:r>
        <w:t xml:space="preserve">Zakon o službenoj statistici     </w:t>
      </w:r>
    </w:p>
    <w:p w14:paraId="51151B55" w14:textId="77777777" w:rsidR="00BF6314" w:rsidRDefault="003E3176">
      <w:pPr>
        <w:pStyle w:val="Normal5"/>
      </w:pPr>
      <w:r>
        <w:t xml:space="preserve">Godišnji provedbeni plan statističkih aktivnosti Republike Hrvatske     </w:t>
      </w:r>
    </w:p>
    <w:p w14:paraId="31C66678" w14:textId="77777777" w:rsidR="00BF6314" w:rsidRDefault="003E3176">
      <w:pPr>
        <w:pStyle w:val="Normal5"/>
      </w:pPr>
      <w:r>
        <w:t xml:space="preserve">Uredba (EU) 2022/2379 Europskog parlamenta i Vijeća od 23. studenoga 2022. o statistici poljoprivrednog inputa i outputa, izmjeni Uredbe Komisije (EZ) br. 617/2008 i o stavljanju izvan snage uredaba (EZ) br. 1165/2008, (EZ) br. 543/2009 i (EZ) br. 1185/2009 Europskog parlamenta i Vijeća te Direktive Vijeća 96/16/EZ </w:t>
      </w:r>
    </w:p>
    <w:p w14:paraId="2355D439" w14:textId="77777777" w:rsidR="00BF6314" w:rsidRDefault="003E3176">
      <w:pPr>
        <w:pStyle w:val="Normal5"/>
      </w:pPr>
      <w:r>
        <w:t xml:space="preserve">Provedbena uredba komisije (EU) 2023/1538 оd 25. srpnja 2023.o utvrđivanju pravila za primjenu Uredbe (EU) 2022/2379 Europskog parlamenta i Vijeća u pogledu statistike o biljnoj proizvodnji </w:t>
      </w:r>
    </w:p>
    <w:p w14:paraId="2EBB6540" w14:textId="77777777" w:rsidR="00BF6314" w:rsidRDefault="003E3176">
      <w:pPr>
        <w:pStyle w:val="Normal5"/>
      </w:pPr>
      <w:r>
        <w:t xml:space="preserve">Provedbena uredba komisije (EU) 2023/2745 оd 8. prosinca 2023. o utvrđivanju pravila za primjenu Uredbe (EU) 2022/2379 Europskog parlamenta i Vijeća u pogledu statistike o stočnoj proizvodnji </w:t>
      </w:r>
    </w:p>
    <w:p w14:paraId="66281A38" w14:textId="77777777" w:rsidR="00BF6314" w:rsidRDefault="003E3176">
      <w:pPr>
        <w:pStyle w:val="Normal5"/>
      </w:pPr>
      <w:r>
        <w:t xml:space="preserve">Provedbena uredba komisije (EU) 2023/1537 оd 25. srpnja 2023. o utvrđivanju pravila za primjenu Uredbe (EU) 2022/2379 Europskog parlamenta i Vijeća u pogledu statistike o upotrebi sredstava za zaštitu bilja koja se tijekom prijelaznog režima 2025.–2027. dostavlja za referentnu godinu 2026. i u pogledu statistike o sredstvima za zaštitu bilja koja se stavljaju na tržište </w:t>
      </w:r>
    </w:p>
    <w:p w14:paraId="2B82CB9C" w14:textId="77777777" w:rsidR="00BF6314" w:rsidRDefault="003E3176">
      <w:pPr>
        <w:pStyle w:val="Normal5"/>
      </w:pPr>
      <w:r>
        <w:t xml:space="preserve">Provedbena uredba komisije (EU) 2024/2212 od 3. rujna 2024. o utvrđivanju pravila za primjenu Uredbe (EU) 2022/2379 Europskog parlamenta i Vijeća u pogledu statistike o hranjivima </w:t>
      </w:r>
    </w:p>
    <w:p w14:paraId="53C9DD69" w14:textId="77777777" w:rsidR="00BF6314" w:rsidRDefault="003E3176">
      <w:pPr>
        <w:pStyle w:val="Normal5"/>
      </w:pPr>
      <w:r>
        <w:t>Metodološke osnove za prikupljanje podataka u statistici mlijeka i mliječnih proizvoda</w:t>
      </w:r>
    </w:p>
    <w:tbl>
      <w:tblPr>
        <w:tblStyle w:val="StilTablice"/>
        <w:tblW w:w="10206" w:type="dxa"/>
        <w:jc w:val="center"/>
        <w:tblLook w:val="04A0" w:firstRow="1" w:lastRow="0" w:firstColumn="1" w:lastColumn="0" w:noHBand="0" w:noVBand="1"/>
      </w:tblPr>
      <w:tblGrid>
        <w:gridCol w:w="1523"/>
        <w:gridCol w:w="1549"/>
        <w:gridCol w:w="1541"/>
        <w:gridCol w:w="1541"/>
        <w:gridCol w:w="1541"/>
        <w:gridCol w:w="1541"/>
        <w:gridCol w:w="970"/>
      </w:tblGrid>
      <w:tr w:rsidR="00BF6314" w14:paraId="68EFDFE8" w14:textId="77777777">
        <w:trPr>
          <w:jc w:val="center"/>
        </w:trPr>
        <w:tc>
          <w:tcPr>
            <w:tcW w:w="1530" w:type="dxa"/>
            <w:shd w:val="clear" w:color="auto" w:fill="B5C0D8"/>
          </w:tcPr>
          <w:p w14:paraId="023FF8C3" w14:textId="77777777" w:rsidR="00BF6314" w:rsidRDefault="003E3176">
            <w:pPr>
              <w:pStyle w:val="CellHeader"/>
            </w:pPr>
            <w:r>
              <w:rPr>
                <w:rFonts w:cs="Times New Roman"/>
              </w:rPr>
              <w:t>Naziv aktivnosti</w:t>
            </w:r>
          </w:p>
        </w:tc>
        <w:tc>
          <w:tcPr>
            <w:tcW w:w="1632" w:type="dxa"/>
            <w:shd w:val="clear" w:color="auto" w:fill="B5C0D8"/>
          </w:tcPr>
          <w:p w14:paraId="6B370EBA" w14:textId="77777777" w:rsidR="00BF6314" w:rsidRDefault="003E3176">
            <w:pPr>
              <w:pStyle w:val="CellHeader"/>
            </w:pPr>
            <w:r>
              <w:rPr>
                <w:rFonts w:cs="Times New Roman"/>
              </w:rPr>
              <w:t>Izvršenje 2023. (eur)</w:t>
            </w:r>
          </w:p>
        </w:tc>
        <w:tc>
          <w:tcPr>
            <w:tcW w:w="1632" w:type="dxa"/>
            <w:shd w:val="clear" w:color="auto" w:fill="B5C0D8"/>
          </w:tcPr>
          <w:p w14:paraId="3A3CF720" w14:textId="77777777" w:rsidR="00BF6314" w:rsidRDefault="003E3176">
            <w:pPr>
              <w:pStyle w:val="CellHeader"/>
            </w:pPr>
            <w:r>
              <w:rPr>
                <w:rFonts w:cs="Times New Roman"/>
              </w:rPr>
              <w:t>Plan 2024. (eur)</w:t>
            </w:r>
          </w:p>
        </w:tc>
        <w:tc>
          <w:tcPr>
            <w:tcW w:w="1632" w:type="dxa"/>
            <w:shd w:val="clear" w:color="auto" w:fill="B5C0D8"/>
          </w:tcPr>
          <w:p w14:paraId="4FE15347" w14:textId="77777777" w:rsidR="00BF6314" w:rsidRDefault="003E3176">
            <w:pPr>
              <w:pStyle w:val="CellHeader"/>
            </w:pPr>
            <w:r>
              <w:rPr>
                <w:rFonts w:cs="Times New Roman"/>
              </w:rPr>
              <w:t>Plan 2025. (eur)</w:t>
            </w:r>
          </w:p>
        </w:tc>
        <w:tc>
          <w:tcPr>
            <w:tcW w:w="1632" w:type="dxa"/>
            <w:shd w:val="clear" w:color="auto" w:fill="B5C0D8"/>
          </w:tcPr>
          <w:p w14:paraId="12449DAB" w14:textId="77777777" w:rsidR="00BF6314" w:rsidRDefault="003E3176">
            <w:pPr>
              <w:pStyle w:val="CellHeader"/>
            </w:pPr>
            <w:r>
              <w:rPr>
                <w:rFonts w:cs="Times New Roman"/>
              </w:rPr>
              <w:t>Plan 2026. (eur)</w:t>
            </w:r>
          </w:p>
        </w:tc>
        <w:tc>
          <w:tcPr>
            <w:tcW w:w="1632" w:type="dxa"/>
            <w:shd w:val="clear" w:color="auto" w:fill="B5C0D8"/>
          </w:tcPr>
          <w:p w14:paraId="6D61588C" w14:textId="77777777" w:rsidR="00BF6314" w:rsidRDefault="003E3176">
            <w:pPr>
              <w:pStyle w:val="CellHeader"/>
            </w:pPr>
            <w:r>
              <w:rPr>
                <w:rFonts w:cs="Times New Roman"/>
              </w:rPr>
              <w:t>Plan 2027. (eur)</w:t>
            </w:r>
          </w:p>
        </w:tc>
        <w:tc>
          <w:tcPr>
            <w:tcW w:w="510" w:type="dxa"/>
            <w:shd w:val="clear" w:color="auto" w:fill="B5C0D8"/>
          </w:tcPr>
          <w:p w14:paraId="4A8EF23D" w14:textId="77777777" w:rsidR="00BF6314" w:rsidRDefault="003E3176">
            <w:pPr>
              <w:pStyle w:val="CellHeader"/>
            </w:pPr>
            <w:r>
              <w:rPr>
                <w:rFonts w:cs="Times New Roman"/>
              </w:rPr>
              <w:t>Indeks 2025/2024</w:t>
            </w:r>
          </w:p>
        </w:tc>
      </w:tr>
      <w:tr w:rsidR="00BF6314" w14:paraId="397ABA42" w14:textId="77777777">
        <w:trPr>
          <w:jc w:val="center"/>
        </w:trPr>
        <w:tc>
          <w:tcPr>
            <w:tcW w:w="1530" w:type="dxa"/>
          </w:tcPr>
          <w:p w14:paraId="556DA7A3" w14:textId="77777777" w:rsidR="00BF6314" w:rsidRDefault="003E3176">
            <w:pPr>
              <w:pStyle w:val="CellColumn"/>
            </w:pPr>
            <w:r>
              <w:rPr>
                <w:rFonts w:cs="Times New Roman"/>
              </w:rPr>
              <w:lastRenderedPageBreak/>
              <w:t>A658063-PROCJENA BILJNE I STOČNE PROIZVODNJE</w:t>
            </w:r>
          </w:p>
        </w:tc>
        <w:tc>
          <w:tcPr>
            <w:tcW w:w="1632" w:type="dxa"/>
          </w:tcPr>
          <w:p w14:paraId="6AC508AE" w14:textId="77777777" w:rsidR="00BF6314" w:rsidRDefault="003E3176">
            <w:pPr>
              <w:pStyle w:val="CellColumn"/>
            </w:pPr>
            <w:r>
              <w:rPr>
                <w:rFonts w:cs="Times New Roman"/>
              </w:rPr>
              <w:t>66.859</w:t>
            </w:r>
          </w:p>
        </w:tc>
        <w:tc>
          <w:tcPr>
            <w:tcW w:w="1632" w:type="dxa"/>
          </w:tcPr>
          <w:p w14:paraId="23EAEDB4" w14:textId="77777777" w:rsidR="00BF6314" w:rsidRDefault="003E3176">
            <w:pPr>
              <w:pStyle w:val="CellColumn"/>
            </w:pPr>
            <w:r>
              <w:rPr>
                <w:rFonts w:cs="Times New Roman"/>
              </w:rPr>
              <w:t>125.667</w:t>
            </w:r>
          </w:p>
        </w:tc>
        <w:tc>
          <w:tcPr>
            <w:tcW w:w="1632" w:type="dxa"/>
          </w:tcPr>
          <w:p w14:paraId="06ADDADA" w14:textId="77777777" w:rsidR="00BF6314" w:rsidRDefault="003E3176">
            <w:pPr>
              <w:pStyle w:val="CellColumn"/>
            </w:pPr>
            <w:r>
              <w:rPr>
                <w:rFonts w:cs="Times New Roman"/>
              </w:rPr>
              <w:t>125.667</w:t>
            </w:r>
          </w:p>
        </w:tc>
        <w:tc>
          <w:tcPr>
            <w:tcW w:w="1632" w:type="dxa"/>
          </w:tcPr>
          <w:p w14:paraId="56B1831C" w14:textId="77777777" w:rsidR="00BF6314" w:rsidRDefault="003E3176">
            <w:pPr>
              <w:pStyle w:val="CellColumn"/>
            </w:pPr>
            <w:r>
              <w:rPr>
                <w:rFonts w:cs="Times New Roman"/>
              </w:rPr>
              <w:t>125.667</w:t>
            </w:r>
          </w:p>
        </w:tc>
        <w:tc>
          <w:tcPr>
            <w:tcW w:w="1632" w:type="dxa"/>
          </w:tcPr>
          <w:p w14:paraId="72FF9F90" w14:textId="77777777" w:rsidR="00BF6314" w:rsidRDefault="003E3176">
            <w:pPr>
              <w:pStyle w:val="CellColumn"/>
            </w:pPr>
            <w:r>
              <w:rPr>
                <w:rFonts w:cs="Times New Roman"/>
              </w:rPr>
              <w:t>125.667</w:t>
            </w:r>
          </w:p>
        </w:tc>
        <w:tc>
          <w:tcPr>
            <w:tcW w:w="510" w:type="dxa"/>
          </w:tcPr>
          <w:p w14:paraId="539941B6" w14:textId="77777777" w:rsidR="00BF6314" w:rsidRDefault="003E3176">
            <w:pPr>
              <w:pStyle w:val="CellColumn"/>
            </w:pPr>
            <w:r>
              <w:rPr>
                <w:rFonts w:cs="Times New Roman"/>
              </w:rPr>
              <w:t>100,0</w:t>
            </w:r>
          </w:p>
        </w:tc>
      </w:tr>
    </w:tbl>
    <w:p w14:paraId="34485955" w14:textId="77777777" w:rsidR="00BF6314" w:rsidRDefault="00BF6314">
      <w:pPr>
        <w:jc w:val="left"/>
      </w:pPr>
    </w:p>
    <w:p w14:paraId="5697E62C" w14:textId="77777777" w:rsidR="00BF6314" w:rsidRDefault="003E3176">
      <w:r>
        <w:t xml:space="preserve">Tijekom trajanja vegetacijske sezone u statistici biljne i stočne proizvodnje provode se dvije ankete na obiteljskim poljoprivrednim gospodarstvima:   </w:t>
      </w:r>
    </w:p>
    <w:p w14:paraId="1C660D17" w14:textId="77777777" w:rsidR="00BF6314" w:rsidRDefault="003E3176">
      <w:r>
        <w:t xml:space="preserve">1) Godišnje istraživanje o biljnoj i stočnoj proizvodnji (obrazac PO-71), u kojoj su integrirane dosadašnje 4 ankete:  PO-32- Istraživanje o ostvarenim prirodima ranih usjeva i voća – stanje 15. kolovoza, PO-33 – Istraživanje o ostvarenim prirodima kasnih usjeva, voća i grožđa– stanje 10. studenoga, Istraživanje o jesenskoj sjetvi (PO-21 – 10. studenoga) i Anketa o broju stoke (PO-51) ). Istraživanje se provodi na cijelom teritoriju RH sa stanjem 01. studenoga;   </w:t>
      </w:r>
    </w:p>
    <w:p w14:paraId="1210DC70" w14:textId="77777777" w:rsidR="00BF6314" w:rsidRDefault="003E3176">
      <w:r>
        <w:t xml:space="preserve">2) Istraživanje o prirodu južnog voća i maslina (PO- 34) koje se provodi za Jadransku regiju sa stanjem 31. prosinca.   </w:t>
      </w:r>
    </w:p>
    <w:p w14:paraId="2BE56731" w14:textId="77777777" w:rsidR="00BF6314" w:rsidRDefault="003E3176">
      <w:r>
        <w:t xml:space="preserve">Anketama se prikupljaju podaci na obiteljskim poljoprivrednim gospodarstvima o požnjevenim površinama i ostvarenim prirodima ranih i kasnih usjeva, voća i grožđa te o preradi šljiva i grožđa iz vlastite proizvodnje, južnog voća i maslina, zasijanim površinama u jesenskoj sjetvi i potrošnji mineralnih i organskih gnojiva, broju stoke i peradi te o stočnoj proizvodnji. Izbor obiteljskih poljoprivrednih gospodarstava koji ulaze u uzorak vrši se metodom slučajnog odabira iz Statističkog registra poljoprivrednih gospodarstava.     </w:t>
      </w:r>
    </w:p>
    <w:p w14:paraId="1AB4869D" w14:textId="77777777" w:rsidR="00BF6314" w:rsidRDefault="003E3176">
      <w:r>
        <w:t xml:space="preserve">Podaci se prikupljaju putem telefonskog intervjua uz podršku računala (CATI).   </w:t>
      </w:r>
    </w:p>
    <w:p w14:paraId="1A9CF746" w14:textId="77777777" w:rsidR="00BF6314" w:rsidRDefault="003E3176">
      <w:r>
        <w:t xml:space="preserve">Rashodi se odnose na intelektualne usluge (CATI-anketari), a ishodište za izračun potrebnih financijskih sredstava je veličina uzorka (broj gospodarstva obuhvaćenih anketom) i bruto naknada anketaru.    </w:t>
      </w:r>
    </w:p>
    <w:p w14:paraId="12C701CA" w14:textId="77777777" w:rsidR="00BF6314" w:rsidRDefault="003E3176">
      <w:r>
        <w:t xml:space="preserve">Pokazatelji/kriteriji na kojima se zasniva procjena financijskih sredstava potrebnih za provođenje Godišnjeg istraživanja o biljnoj i stočnoj proizvodnji u 2025., 2026. i 2027. su: veličina uzorka (25.000), planirana stopa odgovora prihvatljivih jedinica (≈ 90,488%), predviđena bruto naknada za anketara po odgovorenoj anketi (5,195 EUR) i naknada za sudjelovanje u poduci (procijenjeni ukupni iznos 1.510 EUR). Izračun: 25.000 x 90,488% x 5,195 EUR + 1.510 EUR =  119.031 EUR.   </w:t>
      </w:r>
    </w:p>
    <w:p w14:paraId="779C4F30" w14:textId="77777777" w:rsidR="00BF6314" w:rsidRDefault="003E3176">
      <w:r>
        <w:t>Pokazatelji/kriteriji na kojima se zasniva procjena financijskih sredstava potrebnih za provođenje Istraživanja o prirodima južnog voća i maslina (obrazac PO-34) za 2025., 2026. i 2027. su: veličina uzorka (5.000), planirana stopa odgovora prihvatljivih jedinica (87%), predviđena bruto naknada za anketara po odgovorenoj anketi (1,379 EUR) i naknada za sudjelovanje u poduci (procijenjeni ukupni iznos: 637 EUR). Izračun: 5.000 x 87% x 1,379 EUR + 637 EUR ≈ 6.636 EUR.</w:t>
      </w:r>
    </w:p>
    <w:p w14:paraId="4296D61B" w14:textId="77777777" w:rsidR="00BF6314" w:rsidRDefault="003E3176">
      <w:pPr>
        <w:pStyle w:val="Heading8"/>
        <w:jc w:val="left"/>
      </w:pPr>
      <w:r>
        <w:t>Pokazatelji rezultata</w:t>
      </w:r>
    </w:p>
    <w:tbl>
      <w:tblPr>
        <w:tblStyle w:val="StilTablice"/>
        <w:tblW w:w="10206" w:type="dxa"/>
        <w:jc w:val="center"/>
        <w:tblLook w:val="04A0" w:firstRow="1" w:lastRow="0" w:firstColumn="1" w:lastColumn="0" w:noHBand="0" w:noVBand="1"/>
      </w:tblPr>
      <w:tblGrid>
        <w:gridCol w:w="1781"/>
        <w:gridCol w:w="1925"/>
        <w:gridCol w:w="1677"/>
        <w:gridCol w:w="916"/>
        <w:gridCol w:w="1159"/>
        <w:gridCol w:w="916"/>
        <w:gridCol w:w="916"/>
        <w:gridCol w:w="916"/>
      </w:tblGrid>
      <w:tr w:rsidR="00BF6314" w14:paraId="0AB19A87" w14:textId="77777777">
        <w:trPr>
          <w:jc w:val="center"/>
        </w:trPr>
        <w:tc>
          <w:tcPr>
            <w:tcW w:w="2245" w:type="dxa"/>
            <w:shd w:val="clear" w:color="auto" w:fill="B5C0D8"/>
          </w:tcPr>
          <w:p w14:paraId="2FA0926A" w14:textId="77777777" w:rsidR="00BF6314" w:rsidRDefault="003E3176">
            <w:r>
              <w:t>Pokazatelj rezultata</w:t>
            </w:r>
          </w:p>
        </w:tc>
        <w:tc>
          <w:tcPr>
            <w:tcW w:w="2245" w:type="dxa"/>
            <w:shd w:val="clear" w:color="auto" w:fill="B5C0D8"/>
          </w:tcPr>
          <w:p w14:paraId="3E1DC6B9" w14:textId="77777777" w:rsidR="00BF6314" w:rsidRDefault="003E3176">
            <w:pPr>
              <w:pStyle w:val="CellHeader"/>
            </w:pPr>
            <w:r>
              <w:rPr>
                <w:rFonts w:cs="Times New Roman"/>
              </w:rPr>
              <w:t>Definicija</w:t>
            </w:r>
          </w:p>
        </w:tc>
        <w:tc>
          <w:tcPr>
            <w:tcW w:w="2245" w:type="dxa"/>
            <w:shd w:val="clear" w:color="auto" w:fill="B5C0D8"/>
          </w:tcPr>
          <w:p w14:paraId="175D755C" w14:textId="77777777" w:rsidR="00BF6314" w:rsidRDefault="003E3176">
            <w:pPr>
              <w:pStyle w:val="CellHeader"/>
            </w:pPr>
            <w:r>
              <w:rPr>
                <w:rFonts w:cs="Times New Roman"/>
              </w:rPr>
              <w:t>Jedinica</w:t>
            </w:r>
          </w:p>
        </w:tc>
        <w:tc>
          <w:tcPr>
            <w:tcW w:w="918" w:type="dxa"/>
            <w:shd w:val="clear" w:color="auto" w:fill="B5C0D8"/>
          </w:tcPr>
          <w:p w14:paraId="776C0F34" w14:textId="77777777" w:rsidR="00BF6314" w:rsidRDefault="003E3176">
            <w:pPr>
              <w:pStyle w:val="CellHeader"/>
            </w:pPr>
            <w:r>
              <w:rPr>
                <w:rFonts w:cs="Times New Roman"/>
              </w:rPr>
              <w:t>Polazna vrijednost</w:t>
            </w:r>
          </w:p>
        </w:tc>
        <w:tc>
          <w:tcPr>
            <w:tcW w:w="918" w:type="dxa"/>
            <w:shd w:val="clear" w:color="auto" w:fill="B5C0D8"/>
          </w:tcPr>
          <w:p w14:paraId="0790345B" w14:textId="77777777" w:rsidR="00BF6314" w:rsidRDefault="003E3176">
            <w:pPr>
              <w:pStyle w:val="CellHeader"/>
            </w:pPr>
            <w:r>
              <w:rPr>
                <w:rFonts w:cs="Times New Roman"/>
              </w:rPr>
              <w:t>Izvor podataka</w:t>
            </w:r>
          </w:p>
        </w:tc>
        <w:tc>
          <w:tcPr>
            <w:tcW w:w="918" w:type="dxa"/>
            <w:shd w:val="clear" w:color="auto" w:fill="B5C0D8"/>
          </w:tcPr>
          <w:p w14:paraId="42354147" w14:textId="77777777" w:rsidR="00BF6314" w:rsidRDefault="003E3176">
            <w:pPr>
              <w:pStyle w:val="CellHeader"/>
            </w:pPr>
            <w:r>
              <w:rPr>
                <w:rFonts w:cs="Times New Roman"/>
              </w:rPr>
              <w:t>Ciljana vrijednost (2025.)</w:t>
            </w:r>
          </w:p>
        </w:tc>
        <w:tc>
          <w:tcPr>
            <w:tcW w:w="918" w:type="dxa"/>
            <w:shd w:val="clear" w:color="auto" w:fill="B5C0D8"/>
          </w:tcPr>
          <w:p w14:paraId="10161FCE" w14:textId="77777777" w:rsidR="00BF6314" w:rsidRDefault="003E3176">
            <w:pPr>
              <w:pStyle w:val="CellHeader"/>
            </w:pPr>
            <w:r>
              <w:rPr>
                <w:rFonts w:cs="Times New Roman"/>
              </w:rPr>
              <w:t>Ciljana vrijednost (2026.)</w:t>
            </w:r>
          </w:p>
        </w:tc>
        <w:tc>
          <w:tcPr>
            <w:tcW w:w="918" w:type="dxa"/>
            <w:shd w:val="clear" w:color="auto" w:fill="B5C0D8"/>
          </w:tcPr>
          <w:p w14:paraId="3BCEE19A" w14:textId="77777777" w:rsidR="00BF6314" w:rsidRDefault="003E3176">
            <w:pPr>
              <w:pStyle w:val="CellHeader"/>
            </w:pPr>
            <w:r>
              <w:rPr>
                <w:rFonts w:cs="Times New Roman"/>
              </w:rPr>
              <w:t>Ciljana vrijednost (2027.)</w:t>
            </w:r>
          </w:p>
        </w:tc>
      </w:tr>
      <w:tr w:rsidR="00BF6314" w14:paraId="2D58BDA8" w14:textId="77777777">
        <w:trPr>
          <w:jc w:val="center"/>
        </w:trPr>
        <w:tc>
          <w:tcPr>
            <w:tcW w:w="2245" w:type="dxa"/>
          </w:tcPr>
          <w:p w14:paraId="5A81EEC1" w14:textId="77777777" w:rsidR="00BF6314" w:rsidRDefault="003E3176">
            <w:pPr>
              <w:pStyle w:val="CellColumn"/>
            </w:pPr>
            <w:r>
              <w:rPr>
                <w:rFonts w:cs="Times New Roman"/>
              </w:rPr>
              <w:t>Provedene ankete o biljnoj proizvodnji (PO-71 i PO 34)</w:t>
            </w:r>
          </w:p>
        </w:tc>
        <w:tc>
          <w:tcPr>
            <w:tcW w:w="2245" w:type="dxa"/>
          </w:tcPr>
          <w:p w14:paraId="45B1476B" w14:textId="77777777" w:rsidR="00BF6314" w:rsidRDefault="003E3176">
            <w:pPr>
              <w:pStyle w:val="CellColumn"/>
            </w:pPr>
            <w:r>
              <w:rPr>
                <w:rFonts w:cs="Times New Roman"/>
              </w:rPr>
              <w:t>Anketama će se prikupiti podaci o površinama i prirodima na obiteljskim poljoprivrednim gospodarstvima što je preduvjet za ispunjenje obveza proizašlih iz pravne stečevine EU u području statistike biljne proizvodnje i poljoprivrednih struktura</w:t>
            </w:r>
          </w:p>
        </w:tc>
        <w:tc>
          <w:tcPr>
            <w:tcW w:w="918" w:type="dxa"/>
          </w:tcPr>
          <w:p w14:paraId="3D0D9D87" w14:textId="77777777" w:rsidR="00BF6314" w:rsidRDefault="003E3176">
            <w:pPr>
              <w:pStyle w:val="CellColumn"/>
            </w:pPr>
            <w:r>
              <w:rPr>
                <w:rFonts w:cs="Times New Roman"/>
              </w:rPr>
              <w:t>Broj</w:t>
            </w:r>
          </w:p>
        </w:tc>
        <w:tc>
          <w:tcPr>
            <w:tcW w:w="918" w:type="dxa"/>
          </w:tcPr>
          <w:p w14:paraId="4E610CB9" w14:textId="77777777" w:rsidR="00BF6314" w:rsidRDefault="003E3176">
            <w:pPr>
              <w:pStyle w:val="CellColumn"/>
            </w:pPr>
            <w:r>
              <w:rPr>
                <w:rFonts w:cs="Times New Roman"/>
              </w:rPr>
              <w:t>2</w:t>
            </w:r>
          </w:p>
        </w:tc>
        <w:tc>
          <w:tcPr>
            <w:tcW w:w="918" w:type="dxa"/>
          </w:tcPr>
          <w:p w14:paraId="7C31F663" w14:textId="77777777" w:rsidR="00BF6314" w:rsidRDefault="003E3176">
            <w:pPr>
              <w:pStyle w:val="CellColumn"/>
            </w:pPr>
            <w:r>
              <w:rPr>
                <w:rFonts w:cs="Times New Roman"/>
              </w:rPr>
              <w:t>Izvješće o izvršenju Godišnjega provedbenog plana statističkih aktivnosti Republike Hrvatske</w:t>
            </w:r>
          </w:p>
        </w:tc>
        <w:tc>
          <w:tcPr>
            <w:tcW w:w="918" w:type="dxa"/>
          </w:tcPr>
          <w:p w14:paraId="23C6245C" w14:textId="77777777" w:rsidR="00BF6314" w:rsidRDefault="003E3176">
            <w:pPr>
              <w:pStyle w:val="CellColumn"/>
            </w:pPr>
            <w:r>
              <w:rPr>
                <w:rFonts w:cs="Times New Roman"/>
              </w:rPr>
              <w:t>2</w:t>
            </w:r>
          </w:p>
        </w:tc>
        <w:tc>
          <w:tcPr>
            <w:tcW w:w="918" w:type="dxa"/>
          </w:tcPr>
          <w:p w14:paraId="036DA296" w14:textId="77777777" w:rsidR="00BF6314" w:rsidRDefault="003E3176">
            <w:pPr>
              <w:pStyle w:val="CellColumn"/>
            </w:pPr>
            <w:r>
              <w:rPr>
                <w:rFonts w:cs="Times New Roman"/>
              </w:rPr>
              <w:t>2</w:t>
            </w:r>
          </w:p>
        </w:tc>
        <w:tc>
          <w:tcPr>
            <w:tcW w:w="918" w:type="dxa"/>
          </w:tcPr>
          <w:p w14:paraId="2002FAB5" w14:textId="77777777" w:rsidR="00BF6314" w:rsidRDefault="003E3176">
            <w:pPr>
              <w:pStyle w:val="CellColumn"/>
            </w:pPr>
            <w:r>
              <w:rPr>
                <w:rFonts w:cs="Times New Roman"/>
              </w:rPr>
              <w:t>2</w:t>
            </w:r>
          </w:p>
        </w:tc>
      </w:tr>
    </w:tbl>
    <w:p w14:paraId="4070AFF2" w14:textId="77777777" w:rsidR="00BF6314" w:rsidRDefault="00BF6314">
      <w:pPr>
        <w:jc w:val="left"/>
      </w:pPr>
    </w:p>
    <w:p w14:paraId="3E1AAF8E" w14:textId="77777777" w:rsidR="00BF6314" w:rsidRDefault="003E3176">
      <w:pPr>
        <w:pStyle w:val="Heading4"/>
      </w:pPr>
      <w:r>
        <w:lastRenderedPageBreak/>
        <w:t>A658068 STATISTIKA TURIZMA</w:t>
      </w:r>
    </w:p>
    <w:p w14:paraId="20CDAFDB" w14:textId="77777777" w:rsidR="00BF6314" w:rsidRDefault="003E3176">
      <w:pPr>
        <w:pStyle w:val="Heading8"/>
        <w:jc w:val="left"/>
      </w:pPr>
      <w:r>
        <w:t>Zakonske i druge pravne osnove</w:t>
      </w:r>
    </w:p>
    <w:p w14:paraId="0DE03329" w14:textId="77777777" w:rsidR="00BF6314" w:rsidRDefault="003E3176">
      <w:pPr>
        <w:pStyle w:val="Normal5"/>
      </w:pPr>
      <w:r>
        <w:t xml:space="preserve">Zakon o službenoj statistici     </w:t>
      </w:r>
    </w:p>
    <w:p w14:paraId="6D17741F" w14:textId="77777777" w:rsidR="00BF6314" w:rsidRDefault="003E3176">
      <w:pPr>
        <w:pStyle w:val="Normal5"/>
      </w:pPr>
      <w:r>
        <w:t xml:space="preserve">Godišnji provedbeni plan statističkih aktivnosti Republike Hrvatske    </w:t>
      </w:r>
    </w:p>
    <w:p w14:paraId="37CECD5C" w14:textId="77777777" w:rsidR="00BF6314" w:rsidRDefault="003E3176">
      <w:pPr>
        <w:pStyle w:val="Normal5"/>
      </w:pPr>
      <w:r>
        <w:t xml:space="preserve">Uredba (EU-a) br. 692/2011 Europskog parlamenta i Vijeća od 6. srpnja 2011. o europskim statistikama o turizmu i o stavljanju izvan snage Direktive Vijeća 95/57/EZ (SL L 192/17, 22.07.2011.)    </w:t>
      </w:r>
    </w:p>
    <w:p w14:paraId="13A92541" w14:textId="77777777" w:rsidR="00BF6314" w:rsidRDefault="003E3176">
      <w:pPr>
        <w:pStyle w:val="Normal5"/>
      </w:pPr>
      <w:r>
        <w:t xml:space="preserve">Provedbena uredba Komisije (EU) br. 1051/2011. od 20. listopada 2011. o provedbi Uredbe (EU) br. 692/2011. Europskog parlamenta i Vijeća o europskim statistikama o turizmu u pogledu strukture izvješća o kvaliteti i slanja podataka (SL L 276/13, 21. 10. 2010.)    </w:t>
      </w:r>
    </w:p>
    <w:p w14:paraId="5B06F87E" w14:textId="77777777" w:rsidR="00BF6314" w:rsidRDefault="003E3176">
      <w:pPr>
        <w:pStyle w:val="Normal5"/>
      </w:pPr>
      <w:r>
        <w:t xml:space="preserve">Provedbena uredba Komisije (EU) br. 81/2013. od 29. siječnja 2013. o izmjeni Provedbene uredbe (EU) br. 1051/2011. s obzirom na datoteku s mikro podacima za prijenos podataka (SL L 28/1, 30. 1. 2013.)   </w:t>
      </w:r>
    </w:p>
    <w:p w14:paraId="3577D75C" w14:textId="77777777" w:rsidR="00BF6314" w:rsidRDefault="003E3176">
      <w:pPr>
        <w:pStyle w:val="Normal5"/>
      </w:pPr>
      <w:r>
        <w:t xml:space="preserve">Delegirana uredba komisije (EU) 2019/1681 оd 1. kolovoza 2019. o izmjeni Uredbe (EU) br. 692/2011 Europskog parlamenta i Vijeća o europskim statistikama o turizmu u pogledu rokova za slanje i prilagodbe priloga I. i II.   </w:t>
      </w:r>
    </w:p>
    <w:p w14:paraId="518DB93D" w14:textId="77777777" w:rsidR="00BF6314" w:rsidRDefault="003E3176">
      <w:pPr>
        <w:pStyle w:val="Normal5"/>
      </w:pPr>
      <w:r>
        <w:t>Provedbena uredba Komisije (EU) 2021/1179 оd 16. srpnja 2021. o izmjeni Provedbene uredbe (EU) br. 1051/2011 u pogledu agregatnih tablica i datoteka s mikropodacima za slanje podataka</w:t>
      </w:r>
    </w:p>
    <w:tbl>
      <w:tblPr>
        <w:tblStyle w:val="StilTablice"/>
        <w:tblW w:w="10206" w:type="dxa"/>
        <w:jc w:val="center"/>
        <w:tblLook w:val="04A0" w:firstRow="1" w:lastRow="0" w:firstColumn="1" w:lastColumn="0" w:noHBand="0" w:noVBand="1"/>
      </w:tblPr>
      <w:tblGrid>
        <w:gridCol w:w="1505"/>
        <w:gridCol w:w="1559"/>
        <w:gridCol w:w="1543"/>
        <w:gridCol w:w="1543"/>
        <w:gridCol w:w="1543"/>
        <w:gridCol w:w="1543"/>
        <w:gridCol w:w="970"/>
      </w:tblGrid>
      <w:tr w:rsidR="00BF6314" w14:paraId="32B2D01C" w14:textId="77777777">
        <w:trPr>
          <w:jc w:val="center"/>
        </w:trPr>
        <w:tc>
          <w:tcPr>
            <w:tcW w:w="1530" w:type="dxa"/>
            <w:shd w:val="clear" w:color="auto" w:fill="B5C0D8"/>
          </w:tcPr>
          <w:p w14:paraId="45084AAD" w14:textId="77777777" w:rsidR="00BF6314" w:rsidRDefault="003E3176">
            <w:pPr>
              <w:pStyle w:val="CellHeader"/>
            </w:pPr>
            <w:r>
              <w:rPr>
                <w:rFonts w:cs="Times New Roman"/>
              </w:rPr>
              <w:t>Naziv aktivnosti</w:t>
            </w:r>
          </w:p>
        </w:tc>
        <w:tc>
          <w:tcPr>
            <w:tcW w:w="1632" w:type="dxa"/>
            <w:shd w:val="clear" w:color="auto" w:fill="B5C0D8"/>
          </w:tcPr>
          <w:p w14:paraId="6A25AFCD" w14:textId="77777777" w:rsidR="00BF6314" w:rsidRDefault="003E3176">
            <w:pPr>
              <w:pStyle w:val="CellHeader"/>
            </w:pPr>
            <w:r>
              <w:rPr>
                <w:rFonts w:cs="Times New Roman"/>
              </w:rPr>
              <w:t>Izvršenje 2023. (eur)</w:t>
            </w:r>
          </w:p>
        </w:tc>
        <w:tc>
          <w:tcPr>
            <w:tcW w:w="1632" w:type="dxa"/>
            <w:shd w:val="clear" w:color="auto" w:fill="B5C0D8"/>
          </w:tcPr>
          <w:p w14:paraId="42D64D53" w14:textId="77777777" w:rsidR="00BF6314" w:rsidRDefault="003E3176">
            <w:pPr>
              <w:pStyle w:val="CellHeader"/>
            </w:pPr>
            <w:r>
              <w:rPr>
                <w:rFonts w:cs="Times New Roman"/>
              </w:rPr>
              <w:t>Plan 2024. (eur)</w:t>
            </w:r>
          </w:p>
        </w:tc>
        <w:tc>
          <w:tcPr>
            <w:tcW w:w="1632" w:type="dxa"/>
            <w:shd w:val="clear" w:color="auto" w:fill="B5C0D8"/>
          </w:tcPr>
          <w:p w14:paraId="32613AAD" w14:textId="77777777" w:rsidR="00BF6314" w:rsidRDefault="003E3176">
            <w:pPr>
              <w:pStyle w:val="CellHeader"/>
            </w:pPr>
            <w:r>
              <w:rPr>
                <w:rFonts w:cs="Times New Roman"/>
              </w:rPr>
              <w:t>Plan 2025. (eur)</w:t>
            </w:r>
          </w:p>
        </w:tc>
        <w:tc>
          <w:tcPr>
            <w:tcW w:w="1632" w:type="dxa"/>
            <w:shd w:val="clear" w:color="auto" w:fill="B5C0D8"/>
          </w:tcPr>
          <w:p w14:paraId="5714CA4D" w14:textId="77777777" w:rsidR="00BF6314" w:rsidRDefault="003E3176">
            <w:pPr>
              <w:pStyle w:val="CellHeader"/>
            </w:pPr>
            <w:r>
              <w:rPr>
                <w:rFonts w:cs="Times New Roman"/>
              </w:rPr>
              <w:t>Plan 2026. (eur)</w:t>
            </w:r>
          </w:p>
        </w:tc>
        <w:tc>
          <w:tcPr>
            <w:tcW w:w="1632" w:type="dxa"/>
            <w:shd w:val="clear" w:color="auto" w:fill="B5C0D8"/>
          </w:tcPr>
          <w:p w14:paraId="53A1C270" w14:textId="77777777" w:rsidR="00BF6314" w:rsidRDefault="003E3176">
            <w:pPr>
              <w:pStyle w:val="CellHeader"/>
            </w:pPr>
            <w:r>
              <w:rPr>
                <w:rFonts w:cs="Times New Roman"/>
              </w:rPr>
              <w:t>Plan 2027. (eur)</w:t>
            </w:r>
          </w:p>
        </w:tc>
        <w:tc>
          <w:tcPr>
            <w:tcW w:w="510" w:type="dxa"/>
            <w:shd w:val="clear" w:color="auto" w:fill="B5C0D8"/>
          </w:tcPr>
          <w:p w14:paraId="7FAD340D" w14:textId="77777777" w:rsidR="00BF6314" w:rsidRDefault="003E3176">
            <w:pPr>
              <w:pStyle w:val="CellHeader"/>
            </w:pPr>
            <w:r>
              <w:rPr>
                <w:rFonts w:cs="Times New Roman"/>
              </w:rPr>
              <w:t>Indeks 2025/2024</w:t>
            </w:r>
          </w:p>
        </w:tc>
      </w:tr>
      <w:tr w:rsidR="00BF6314" w14:paraId="7EDC0F3D" w14:textId="77777777">
        <w:trPr>
          <w:jc w:val="center"/>
        </w:trPr>
        <w:tc>
          <w:tcPr>
            <w:tcW w:w="1530" w:type="dxa"/>
          </w:tcPr>
          <w:p w14:paraId="10E67F8B" w14:textId="77777777" w:rsidR="00BF6314" w:rsidRDefault="003E3176">
            <w:pPr>
              <w:pStyle w:val="CellColumn"/>
            </w:pPr>
            <w:r>
              <w:rPr>
                <w:rFonts w:cs="Times New Roman"/>
              </w:rPr>
              <w:t>A658068-STATISTIKA TURIZMA</w:t>
            </w:r>
          </w:p>
        </w:tc>
        <w:tc>
          <w:tcPr>
            <w:tcW w:w="1632" w:type="dxa"/>
          </w:tcPr>
          <w:p w14:paraId="75B7A1E7" w14:textId="77777777" w:rsidR="00BF6314" w:rsidRDefault="003E3176">
            <w:pPr>
              <w:pStyle w:val="CellColumn"/>
            </w:pPr>
            <w:r>
              <w:rPr>
                <w:rFonts w:cs="Times New Roman"/>
              </w:rPr>
              <w:t>20.744</w:t>
            </w:r>
          </w:p>
        </w:tc>
        <w:tc>
          <w:tcPr>
            <w:tcW w:w="1632" w:type="dxa"/>
          </w:tcPr>
          <w:p w14:paraId="20CB13C8" w14:textId="77777777" w:rsidR="00BF6314" w:rsidRDefault="003E3176">
            <w:pPr>
              <w:pStyle w:val="CellColumn"/>
            </w:pPr>
            <w:r>
              <w:rPr>
                <w:rFonts w:cs="Times New Roman"/>
              </w:rPr>
              <w:t>39.868</w:t>
            </w:r>
          </w:p>
        </w:tc>
        <w:tc>
          <w:tcPr>
            <w:tcW w:w="1632" w:type="dxa"/>
          </w:tcPr>
          <w:p w14:paraId="29C292AF" w14:textId="77777777" w:rsidR="00BF6314" w:rsidRDefault="003E3176">
            <w:pPr>
              <w:pStyle w:val="CellColumn"/>
            </w:pPr>
            <w:r>
              <w:rPr>
                <w:rFonts w:cs="Times New Roman"/>
              </w:rPr>
              <w:t>45.780</w:t>
            </w:r>
          </w:p>
        </w:tc>
        <w:tc>
          <w:tcPr>
            <w:tcW w:w="1632" w:type="dxa"/>
          </w:tcPr>
          <w:p w14:paraId="288211CD" w14:textId="77777777" w:rsidR="00BF6314" w:rsidRDefault="003E3176">
            <w:pPr>
              <w:pStyle w:val="CellColumn"/>
            </w:pPr>
            <w:r>
              <w:rPr>
                <w:rFonts w:cs="Times New Roman"/>
              </w:rPr>
              <w:t>45.780</w:t>
            </w:r>
          </w:p>
        </w:tc>
        <w:tc>
          <w:tcPr>
            <w:tcW w:w="1632" w:type="dxa"/>
          </w:tcPr>
          <w:p w14:paraId="20F1B13A" w14:textId="77777777" w:rsidR="00BF6314" w:rsidRDefault="003E3176">
            <w:pPr>
              <w:pStyle w:val="CellColumn"/>
            </w:pPr>
            <w:r>
              <w:rPr>
                <w:rFonts w:cs="Times New Roman"/>
              </w:rPr>
              <w:t>74.095</w:t>
            </w:r>
          </w:p>
        </w:tc>
        <w:tc>
          <w:tcPr>
            <w:tcW w:w="510" w:type="dxa"/>
          </w:tcPr>
          <w:p w14:paraId="7328CA0B" w14:textId="77777777" w:rsidR="00BF6314" w:rsidRDefault="003E3176">
            <w:pPr>
              <w:pStyle w:val="CellColumn"/>
            </w:pPr>
            <w:r>
              <w:rPr>
                <w:rFonts w:cs="Times New Roman"/>
              </w:rPr>
              <w:t>114,8</w:t>
            </w:r>
          </w:p>
        </w:tc>
      </w:tr>
    </w:tbl>
    <w:p w14:paraId="5B41921E" w14:textId="77777777" w:rsidR="00BF6314" w:rsidRDefault="00BF6314">
      <w:pPr>
        <w:jc w:val="left"/>
      </w:pPr>
    </w:p>
    <w:p w14:paraId="7D8F6595" w14:textId="77777777" w:rsidR="00BF6314" w:rsidRDefault="003E3176">
      <w:r>
        <w:t xml:space="preserve">U okviru ove aktivnosti planirani su rashodi za provedbu istraživanja o turističkoj aktivnosti stanovništva RH u razdoblju 2025.-2027. te rashodi za provedbu istraživanja o putovanjima stanovništva RH u 2027. godini. </w:t>
      </w:r>
    </w:p>
    <w:p w14:paraId="0138F96C" w14:textId="77777777" w:rsidR="00BF6314" w:rsidRDefault="003E3176">
      <w:r>
        <w:t xml:space="preserve">Istraživanje o turističkoj aktivnosti stanovništva Hrvatske provodi se kako bi se prikupili podaci o nacionalnom turizmu tj. podaci o broju i obilježjima putovanja stanovništva Hrvatske izvan uobičajene sredine. Cilj je procijeniti koliko putuju stanovnici Hrvatske, zašto odlaze na putovanja, gdje i kada odlaze na putovanja, koliko traju putovanja i koliki su izdaci na putovanjima. Za ispitanike koji nisu odlazili na privatna višednevna putovanja prikupljaju se podaci o glavnim razlozima neodlaska na putovanje. Osim broja i obilježja putovanja prikupljaju se i podaci o sociodemografskom profilu populacije (spol, dob, školska sprema, zanimanje, prosječni prihodi kućanstva, radni status, županija).    </w:t>
      </w:r>
    </w:p>
    <w:p w14:paraId="01C5541E" w14:textId="77777777" w:rsidR="00BF6314" w:rsidRDefault="003E3176">
      <w:r>
        <w:t xml:space="preserve">Podaci se prikupljaju putem telefonskog intervjua uz podršku računala (CATI) na reprezentativnom uzorku od ukupno 22.000 stanovnika Republike Hrvatske u dobi od 15 i više godina. Okvir za izbor uzorka je imenik fiksnih i mobilnih telefonskih linija u Republici Hrvatskoj. Podaci se prikupljaju provođenjem četiri vala CATI istraživanja. Referentno razdoblje je  tromjesečje. Istraživanje obuhvaća višednevna i jednodnevna, privatna i poslovna putovanja u Hrvatskoj i izvan Hrvatske.    </w:t>
      </w:r>
    </w:p>
    <w:p w14:paraId="0A38B900" w14:textId="77777777" w:rsidR="00BF6314" w:rsidRDefault="003E3176">
      <w:r>
        <w:t xml:space="preserve">Rezultati istraživanja objavljuju se u priopćenju Turistička aktivnost stanovništva Republike Hrvatske i u PCAxis bazi podataka. Prema Uredbi (EU) br. 692/2011 podaci se dostavljaju u Eurostat prema Transmisijskom formatu za statistiku turizma. Podaci se dostavljaju i u Svjetsku turističku organizaciju (UNWTO) i OECD.   </w:t>
      </w:r>
    </w:p>
    <w:p w14:paraId="3D1DF985" w14:textId="77777777" w:rsidR="00BF6314" w:rsidRDefault="003E3176">
      <w:r>
        <w:t xml:space="preserve">Za provedbu istraživanja o turističkoj aktivnosti stanovništva RH planirana su sredstva u iznosu 45.780 EUR godišnje. </w:t>
      </w:r>
    </w:p>
    <w:p w14:paraId="41FA3D94" w14:textId="77777777" w:rsidR="00BF6314" w:rsidRDefault="003E3176">
      <w:r>
        <w:t xml:space="preserve">Rashodi se odnose na intelektualne usluge (vanjski izvršitelji– anketari). Pokazatelji/kriteriji na kojima se zasniva procjena financijskih sredstava potrebnih za provođenje istraživanja su: veličina uzorka odnosno broj osoba koji će biti obuhvaćeni ovim istraživanjem (22.000), planirana stopa odgovora prihvatljivih jedinica (70%), predviđena bruto naknada za anketara po odgovorenoj anketi (2,80 EUR za prva tri tromjesečja i 3,00 EUR za četvrto tromjesečje) te naknada za sudjelovanje u poduci (ukupni procijenjeni iznos 1.680 EUR). Izračun: (15.000 x 70% x 2,80 EUR)  + (7.000 x 70% x 3,00 EUR) +1.680 EUR = 45.780 EUR.  </w:t>
      </w:r>
    </w:p>
    <w:p w14:paraId="38192478" w14:textId="77777777" w:rsidR="00BF6314" w:rsidRDefault="003E3176">
      <w:r>
        <w:t xml:space="preserve">Istraživanje o dnevnim putovanjima stanovništva Republike Hrvatske na udaljenosti do 300 km  provodi se kako bi se prikupili podaci o broju ostvarenih putovanja, načinu i svrsi putovanja, vremenu utrošenom na putovanja te </w:t>
      </w:r>
      <w:r>
        <w:lastRenderedPageBreak/>
        <w:t xml:space="preserve">prijeđenoj udaljenosti. Za ispitanike koji nisu ostvarili nijedno dnevno putovanje prikupljaju se informacije o razlogu neodlaska na putovanje. Također se prikupljaju podaci o sociodemografskom profilu osoba koje putuju (spol, dob, školska sprema, zanimanje, županija). </w:t>
      </w:r>
    </w:p>
    <w:p w14:paraId="3798D0EF" w14:textId="77777777" w:rsidR="00BF6314" w:rsidRDefault="003E3176">
      <w:r>
        <w:t xml:space="preserve">Podaci se prikupljaju putem internetskog intervjua uz podršku računala (CAWI) i telefonskog intervjua uz podršku računala (CATI) na reprezentativnom uzorku od oko 5.000 kućanstava. Iz svakog kućanstva se ispituju sve osobe u dobi od 15 do 84 godine za ostvarena putovanja za jedan radni i jedan neradni dan. Okvir za uzorak je Popis stanovništva, kućanstava i stanova u RH za 2021. te imenik fiksnih i mobilnih telefonskih linija u RH za potrebe CATI anketiranja. Referentno razdoblje za prikupljanje podataka je od rujna do studenog 2027. Istraživanje obuhvaća jednodnevna putovanja. </w:t>
      </w:r>
    </w:p>
    <w:p w14:paraId="7C942348" w14:textId="77777777" w:rsidR="00BF6314" w:rsidRDefault="003E3176">
      <w:r>
        <w:t xml:space="preserve">Za provedbu istraživanja o putovanjima stanovništva RH, u 2027. godini planirana su sredstva u iznosu 28.315 EUR. </w:t>
      </w:r>
    </w:p>
    <w:p w14:paraId="5A1A85C7" w14:textId="77777777" w:rsidR="00BF6314" w:rsidRDefault="003E3176">
      <w:r>
        <w:t>Planirani rashodi se odnose na intelektualne usluge vanjskih izvršitelja-anketara. Pokazatelji/kriteriji na kojima se zasniva procjena financijskih sredstava potrebnih za provođenje istraživanja su: veličina uzorka, odnosno broj kućanstava koja će biti obuhvaćena ovim istraživanjem (5.000 kućanstava), planirana stopa odgovora (80%), predviđena bruto naknada anketara po odgovorenoj anketi (7,00 EUR za popunjenu anketu za sve članove kućanstva kod kojih je barem jedan član kućanstva ostvario dnevna putovanja i 2,00 EUR za popunjenu anketu za sve članove kućanstva ako nijedan član nije ostvario putovanja) i naknada za sudjelovanje na poduci. Izračun: (3500 x 7,00 EUR) + (500 x 2,00 EUR) + 840,00 EUR + 1.975,00 EUR = 28.315,00 EUR.</w:t>
      </w:r>
    </w:p>
    <w:p w14:paraId="468B109D" w14:textId="77777777" w:rsidR="00BF6314" w:rsidRDefault="003E3176">
      <w:pPr>
        <w:pStyle w:val="Heading8"/>
        <w:jc w:val="left"/>
      </w:pPr>
      <w:r>
        <w:t>Pokazatelji rezultata</w:t>
      </w:r>
    </w:p>
    <w:tbl>
      <w:tblPr>
        <w:tblStyle w:val="StilTablice"/>
        <w:tblW w:w="10206" w:type="dxa"/>
        <w:jc w:val="center"/>
        <w:tblLook w:val="04A0" w:firstRow="1" w:lastRow="0" w:firstColumn="1" w:lastColumn="0" w:noHBand="0" w:noVBand="1"/>
      </w:tblPr>
      <w:tblGrid>
        <w:gridCol w:w="1830"/>
        <w:gridCol w:w="1843"/>
        <w:gridCol w:w="1706"/>
        <w:gridCol w:w="917"/>
        <w:gridCol w:w="1159"/>
        <w:gridCol w:w="917"/>
        <w:gridCol w:w="917"/>
        <w:gridCol w:w="917"/>
      </w:tblGrid>
      <w:tr w:rsidR="00BF6314" w14:paraId="4BC033C6" w14:textId="77777777">
        <w:trPr>
          <w:jc w:val="center"/>
        </w:trPr>
        <w:tc>
          <w:tcPr>
            <w:tcW w:w="2245" w:type="dxa"/>
            <w:shd w:val="clear" w:color="auto" w:fill="B5C0D8"/>
          </w:tcPr>
          <w:p w14:paraId="60093166" w14:textId="77777777" w:rsidR="00BF6314" w:rsidRDefault="003E3176">
            <w:r>
              <w:t>Pokazatelj rezultata</w:t>
            </w:r>
          </w:p>
        </w:tc>
        <w:tc>
          <w:tcPr>
            <w:tcW w:w="2245" w:type="dxa"/>
            <w:shd w:val="clear" w:color="auto" w:fill="B5C0D8"/>
          </w:tcPr>
          <w:p w14:paraId="5BB8F224" w14:textId="77777777" w:rsidR="00BF6314" w:rsidRDefault="003E3176">
            <w:pPr>
              <w:pStyle w:val="CellHeader"/>
            </w:pPr>
            <w:r>
              <w:rPr>
                <w:rFonts w:cs="Times New Roman"/>
              </w:rPr>
              <w:t>Definicija</w:t>
            </w:r>
          </w:p>
        </w:tc>
        <w:tc>
          <w:tcPr>
            <w:tcW w:w="2245" w:type="dxa"/>
            <w:shd w:val="clear" w:color="auto" w:fill="B5C0D8"/>
          </w:tcPr>
          <w:p w14:paraId="612E31FB" w14:textId="77777777" w:rsidR="00BF6314" w:rsidRDefault="003E3176">
            <w:pPr>
              <w:pStyle w:val="CellHeader"/>
            </w:pPr>
            <w:r>
              <w:rPr>
                <w:rFonts w:cs="Times New Roman"/>
              </w:rPr>
              <w:t>Jedinica</w:t>
            </w:r>
          </w:p>
        </w:tc>
        <w:tc>
          <w:tcPr>
            <w:tcW w:w="918" w:type="dxa"/>
            <w:shd w:val="clear" w:color="auto" w:fill="B5C0D8"/>
          </w:tcPr>
          <w:p w14:paraId="44406165" w14:textId="77777777" w:rsidR="00BF6314" w:rsidRDefault="003E3176">
            <w:pPr>
              <w:pStyle w:val="CellHeader"/>
            </w:pPr>
            <w:r>
              <w:rPr>
                <w:rFonts w:cs="Times New Roman"/>
              </w:rPr>
              <w:t>Polazna vrijednost</w:t>
            </w:r>
          </w:p>
        </w:tc>
        <w:tc>
          <w:tcPr>
            <w:tcW w:w="918" w:type="dxa"/>
            <w:shd w:val="clear" w:color="auto" w:fill="B5C0D8"/>
          </w:tcPr>
          <w:p w14:paraId="74E53927" w14:textId="77777777" w:rsidR="00BF6314" w:rsidRDefault="003E3176">
            <w:pPr>
              <w:pStyle w:val="CellHeader"/>
            </w:pPr>
            <w:r>
              <w:rPr>
                <w:rFonts w:cs="Times New Roman"/>
              </w:rPr>
              <w:t>Izvor podataka</w:t>
            </w:r>
          </w:p>
        </w:tc>
        <w:tc>
          <w:tcPr>
            <w:tcW w:w="918" w:type="dxa"/>
            <w:shd w:val="clear" w:color="auto" w:fill="B5C0D8"/>
          </w:tcPr>
          <w:p w14:paraId="18CE88BA" w14:textId="77777777" w:rsidR="00BF6314" w:rsidRDefault="003E3176">
            <w:pPr>
              <w:pStyle w:val="CellHeader"/>
            </w:pPr>
            <w:r>
              <w:rPr>
                <w:rFonts w:cs="Times New Roman"/>
              </w:rPr>
              <w:t>Ciljana vrijednost (2025.)</w:t>
            </w:r>
          </w:p>
        </w:tc>
        <w:tc>
          <w:tcPr>
            <w:tcW w:w="918" w:type="dxa"/>
            <w:shd w:val="clear" w:color="auto" w:fill="B5C0D8"/>
          </w:tcPr>
          <w:p w14:paraId="46600F47" w14:textId="77777777" w:rsidR="00BF6314" w:rsidRDefault="003E3176">
            <w:pPr>
              <w:pStyle w:val="CellHeader"/>
            </w:pPr>
            <w:r>
              <w:rPr>
                <w:rFonts w:cs="Times New Roman"/>
              </w:rPr>
              <w:t>Ciljana vrijednost (2026.)</w:t>
            </w:r>
          </w:p>
        </w:tc>
        <w:tc>
          <w:tcPr>
            <w:tcW w:w="918" w:type="dxa"/>
            <w:shd w:val="clear" w:color="auto" w:fill="B5C0D8"/>
          </w:tcPr>
          <w:p w14:paraId="6E36EA1C" w14:textId="77777777" w:rsidR="00BF6314" w:rsidRDefault="003E3176">
            <w:pPr>
              <w:pStyle w:val="CellHeader"/>
            </w:pPr>
            <w:r>
              <w:rPr>
                <w:rFonts w:cs="Times New Roman"/>
              </w:rPr>
              <w:t>Ciljana vrijednost (2027.)</w:t>
            </w:r>
          </w:p>
        </w:tc>
      </w:tr>
      <w:tr w:rsidR="00BF6314" w14:paraId="2BAF698C" w14:textId="77777777">
        <w:trPr>
          <w:jc w:val="center"/>
        </w:trPr>
        <w:tc>
          <w:tcPr>
            <w:tcW w:w="2245" w:type="dxa"/>
          </w:tcPr>
          <w:p w14:paraId="278F19A8" w14:textId="77777777" w:rsidR="00BF6314" w:rsidRDefault="003E3176">
            <w:pPr>
              <w:pStyle w:val="CellColumn"/>
            </w:pPr>
            <w:r>
              <w:rPr>
                <w:rFonts w:cs="Times New Roman"/>
              </w:rPr>
              <w:t>Provedeno istraživanje o turističkoj aktivnosti stanovništva RH</w:t>
            </w:r>
          </w:p>
        </w:tc>
        <w:tc>
          <w:tcPr>
            <w:tcW w:w="2245" w:type="dxa"/>
          </w:tcPr>
          <w:p w14:paraId="37D81CFF" w14:textId="77777777" w:rsidR="00BF6314" w:rsidRDefault="003E3176">
            <w:pPr>
              <w:pStyle w:val="CellColumn"/>
            </w:pPr>
            <w:r>
              <w:rPr>
                <w:rFonts w:cs="Times New Roman"/>
              </w:rPr>
              <w:t>Provedbom istraživanja prikupiti će se podaci o nacionalnom turizmu tj. podaci o broju i obilježjima putovanja stanovništva Hrvatske, što je preduvjet za ispunjenje obveza proizašlih iz pravne stečevine EU u području statistike turizma</w:t>
            </w:r>
          </w:p>
        </w:tc>
        <w:tc>
          <w:tcPr>
            <w:tcW w:w="918" w:type="dxa"/>
          </w:tcPr>
          <w:p w14:paraId="78DD29BE" w14:textId="77777777" w:rsidR="00BF6314" w:rsidRDefault="003E3176">
            <w:pPr>
              <w:pStyle w:val="CellColumn"/>
            </w:pPr>
            <w:r>
              <w:rPr>
                <w:rFonts w:cs="Times New Roman"/>
              </w:rPr>
              <w:t>Broj</w:t>
            </w:r>
          </w:p>
        </w:tc>
        <w:tc>
          <w:tcPr>
            <w:tcW w:w="918" w:type="dxa"/>
          </w:tcPr>
          <w:p w14:paraId="57974653" w14:textId="77777777" w:rsidR="00BF6314" w:rsidRDefault="003E3176">
            <w:pPr>
              <w:pStyle w:val="CellColumn"/>
            </w:pPr>
            <w:r>
              <w:rPr>
                <w:rFonts w:cs="Times New Roman"/>
              </w:rPr>
              <w:t>1</w:t>
            </w:r>
          </w:p>
        </w:tc>
        <w:tc>
          <w:tcPr>
            <w:tcW w:w="918" w:type="dxa"/>
          </w:tcPr>
          <w:p w14:paraId="6171B1FF" w14:textId="77777777" w:rsidR="00BF6314" w:rsidRDefault="003E3176">
            <w:pPr>
              <w:pStyle w:val="CellColumn"/>
            </w:pPr>
            <w:r>
              <w:rPr>
                <w:rFonts w:cs="Times New Roman"/>
              </w:rPr>
              <w:t>Izvješće o izvršenju Godišnjega provedbenog plana statističkih aktivnosti Republike Hrvatske</w:t>
            </w:r>
          </w:p>
        </w:tc>
        <w:tc>
          <w:tcPr>
            <w:tcW w:w="918" w:type="dxa"/>
          </w:tcPr>
          <w:p w14:paraId="61C6674A" w14:textId="77777777" w:rsidR="00BF6314" w:rsidRDefault="003E3176">
            <w:pPr>
              <w:pStyle w:val="CellColumn"/>
            </w:pPr>
            <w:r>
              <w:rPr>
                <w:rFonts w:cs="Times New Roman"/>
              </w:rPr>
              <w:t>1</w:t>
            </w:r>
          </w:p>
        </w:tc>
        <w:tc>
          <w:tcPr>
            <w:tcW w:w="918" w:type="dxa"/>
          </w:tcPr>
          <w:p w14:paraId="1375720E" w14:textId="77777777" w:rsidR="00BF6314" w:rsidRDefault="003E3176">
            <w:pPr>
              <w:pStyle w:val="CellColumn"/>
            </w:pPr>
            <w:r>
              <w:rPr>
                <w:rFonts w:cs="Times New Roman"/>
              </w:rPr>
              <w:t>1</w:t>
            </w:r>
          </w:p>
        </w:tc>
        <w:tc>
          <w:tcPr>
            <w:tcW w:w="918" w:type="dxa"/>
          </w:tcPr>
          <w:p w14:paraId="1BA53358" w14:textId="77777777" w:rsidR="00BF6314" w:rsidRDefault="003E3176">
            <w:pPr>
              <w:pStyle w:val="CellColumn"/>
            </w:pPr>
            <w:r>
              <w:rPr>
                <w:rFonts w:cs="Times New Roman"/>
              </w:rPr>
              <w:t>1</w:t>
            </w:r>
          </w:p>
        </w:tc>
      </w:tr>
      <w:tr w:rsidR="00BF6314" w14:paraId="461168A3" w14:textId="77777777">
        <w:trPr>
          <w:jc w:val="center"/>
        </w:trPr>
        <w:tc>
          <w:tcPr>
            <w:tcW w:w="2245" w:type="dxa"/>
          </w:tcPr>
          <w:p w14:paraId="0370EAA4" w14:textId="77777777" w:rsidR="00BF6314" w:rsidRDefault="003E3176">
            <w:pPr>
              <w:pStyle w:val="CellColumn"/>
            </w:pPr>
            <w:r>
              <w:rPr>
                <w:rFonts w:cs="Times New Roman"/>
              </w:rPr>
              <w:t>Provedeno istraživanje o putovanjima stanovništva RH</w:t>
            </w:r>
          </w:p>
        </w:tc>
        <w:tc>
          <w:tcPr>
            <w:tcW w:w="2245" w:type="dxa"/>
          </w:tcPr>
          <w:p w14:paraId="1DE653B2" w14:textId="77777777" w:rsidR="00BF6314" w:rsidRDefault="003E3176">
            <w:pPr>
              <w:pStyle w:val="CellColumn"/>
            </w:pPr>
            <w:r>
              <w:rPr>
                <w:rFonts w:cs="Times New Roman"/>
              </w:rPr>
              <w:t>Provedbom istraživanja prikupiti će se podaci o dnevnim putovanjima stanovništva RH na udaljenosti do 300 km tj. podaci o broju ostvarenih putovanja, načinu putovanja, svrsi putovanja, vremenu utrošenom na putovanja te prijeđenoj udaljenosti</w:t>
            </w:r>
          </w:p>
        </w:tc>
        <w:tc>
          <w:tcPr>
            <w:tcW w:w="918" w:type="dxa"/>
          </w:tcPr>
          <w:p w14:paraId="28259D65" w14:textId="77777777" w:rsidR="00BF6314" w:rsidRDefault="003E3176">
            <w:pPr>
              <w:pStyle w:val="CellColumn"/>
            </w:pPr>
            <w:r>
              <w:rPr>
                <w:rFonts w:cs="Times New Roman"/>
              </w:rPr>
              <w:t>Broj</w:t>
            </w:r>
          </w:p>
        </w:tc>
        <w:tc>
          <w:tcPr>
            <w:tcW w:w="918" w:type="dxa"/>
          </w:tcPr>
          <w:p w14:paraId="4613FB57" w14:textId="77777777" w:rsidR="00BF6314" w:rsidRDefault="003E3176">
            <w:pPr>
              <w:pStyle w:val="CellColumn"/>
            </w:pPr>
            <w:r>
              <w:rPr>
                <w:rFonts w:cs="Times New Roman"/>
              </w:rPr>
              <w:t>0</w:t>
            </w:r>
          </w:p>
        </w:tc>
        <w:tc>
          <w:tcPr>
            <w:tcW w:w="918" w:type="dxa"/>
          </w:tcPr>
          <w:p w14:paraId="079E15AC" w14:textId="77777777" w:rsidR="00BF6314" w:rsidRDefault="003E3176">
            <w:pPr>
              <w:pStyle w:val="CellColumn"/>
            </w:pPr>
            <w:r>
              <w:rPr>
                <w:rFonts w:cs="Times New Roman"/>
              </w:rPr>
              <w:t>Izvješće o izvršenju Godišnjega provedbenog plana statističkih aktivnosti Republike Hrvatske</w:t>
            </w:r>
          </w:p>
        </w:tc>
        <w:tc>
          <w:tcPr>
            <w:tcW w:w="918" w:type="dxa"/>
          </w:tcPr>
          <w:p w14:paraId="56B20B86" w14:textId="77777777" w:rsidR="00BF6314" w:rsidRDefault="003E3176">
            <w:pPr>
              <w:pStyle w:val="CellColumn"/>
            </w:pPr>
            <w:r>
              <w:rPr>
                <w:rFonts w:cs="Times New Roman"/>
              </w:rPr>
              <w:t>0</w:t>
            </w:r>
          </w:p>
        </w:tc>
        <w:tc>
          <w:tcPr>
            <w:tcW w:w="918" w:type="dxa"/>
          </w:tcPr>
          <w:p w14:paraId="0770FBAF" w14:textId="77777777" w:rsidR="00BF6314" w:rsidRDefault="003E3176">
            <w:pPr>
              <w:pStyle w:val="CellColumn"/>
            </w:pPr>
            <w:r>
              <w:rPr>
                <w:rFonts w:cs="Times New Roman"/>
              </w:rPr>
              <w:t>0</w:t>
            </w:r>
          </w:p>
        </w:tc>
        <w:tc>
          <w:tcPr>
            <w:tcW w:w="918" w:type="dxa"/>
          </w:tcPr>
          <w:p w14:paraId="1474208C" w14:textId="77777777" w:rsidR="00BF6314" w:rsidRDefault="003E3176">
            <w:pPr>
              <w:pStyle w:val="CellColumn"/>
            </w:pPr>
            <w:r>
              <w:rPr>
                <w:rFonts w:cs="Times New Roman"/>
              </w:rPr>
              <w:t>1</w:t>
            </w:r>
          </w:p>
        </w:tc>
      </w:tr>
    </w:tbl>
    <w:p w14:paraId="24E7FD86" w14:textId="77777777" w:rsidR="00BF6314" w:rsidRDefault="00BF6314">
      <w:pPr>
        <w:jc w:val="left"/>
      </w:pPr>
    </w:p>
    <w:p w14:paraId="72F5BC04" w14:textId="77777777" w:rsidR="00BF6314" w:rsidRDefault="003E3176">
      <w:pPr>
        <w:pStyle w:val="Heading4"/>
      </w:pPr>
      <w:r>
        <w:t>A658069 STATISTIKA GRAĐEVINARSTVA I STANOVANJA</w:t>
      </w:r>
    </w:p>
    <w:p w14:paraId="583AEA73" w14:textId="77777777" w:rsidR="00BF6314" w:rsidRDefault="003E3176">
      <w:pPr>
        <w:pStyle w:val="Heading8"/>
        <w:jc w:val="left"/>
      </w:pPr>
      <w:r>
        <w:t>Zakonske i druge pravne osnove</w:t>
      </w:r>
    </w:p>
    <w:p w14:paraId="67412780" w14:textId="77777777" w:rsidR="00BF6314" w:rsidRDefault="003E3176">
      <w:pPr>
        <w:pStyle w:val="Normal5"/>
      </w:pPr>
      <w:r>
        <w:t xml:space="preserve">Zakon o službenoj statistici    </w:t>
      </w:r>
    </w:p>
    <w:p w14:paraId="49953EA7" w14:textId="77777777" w:rsidR="00BF6314" w:rsidRDefault="003E3176">
      <w:pPr>
        <w:pStyle w:val="Normal5"/>
      </w:pPr>
      <w:r>
        <w:t xml:space="preserve">Godišnji provedbeni plan statističkih aktivnosti Republike Hrvatske   </w:t>
      </w:r>
    </w:p>
    <w:p w14:paraId="7D916EBF" w14:textId="77777777" w:rsidR="00BF6314" w:rsidRDefault="003E3176">
      <w:pPr>
        <w:pStyle w:val="Normal5"/>
      </w:pPr>
      <w:r>
        <w:lastRenderedPageBreak/>
        <w:t>Godišnje statističko istraživanje o završenim zgradama i stanovima provodi se sukladno Programu statistike stanovanja i izgradnje zgrada u zemljama u području UN/ECE (Programme of Current Housing and Building Statistics for Countries in the UN/ECE Region)</w:t>
      </w:r>
    </w:p>
    <w:tbl>
      <w:tblPr>
        <w:tblStyle w:val="StilTablice"/>
        <w:tblW w:w="10206" w:type="dxa"/>
        <w:jc w:val="center"/>
        <w:tblLook w:val="04A0" w:firstRow="1" w:lastRow="0" w:firstColumn="1" w:lastColumn="0" w:noHBand="0" w:noVBand="1"/>
      </w:tblPr>
      <w:tblGrid>
        <w:gridCol w:w="1960"/>
        <w:gridCol w:w="1484"/>
        <w:gridCol w:w="1448"/>
        <w:gridCol w:w="1448"/>
        <w:gridCol w:w="1448"/>
        <w:gridCol w:w="1448"/>
        <w:gridCol w:w="970"/>
      </w:tblGrid>
      <w:tr w:rsidR="00BF6314" w14:paraId="6E16A9F1" w14:textId="77777777">
        <w:trPr>
          <w:jc w:val="center"/>
        </w:trPr>
        <w:tc>
          <w:tcPr>
            <w:tcW w:w="1530" w:type="dxa"/>
            <w:shd w:val="clear" w:color="auto" w:fill="B5C0D8"/>
          </w:tcPr>
          <w:p w14:paraId="4F528CAC" w14:textId="77777777" w:rsidR="00BF6314" w:rsidRDefault="003E3176">
            <w:pPr>
              <w:pStyle w:val="CellHeader"/>
            </w:pPr>
            <w:r>
              <w:rPr>
                <w:rFonts w:cs="Times New Roman"/>
              </w:rPr>
              <w:t>Naziv aktivnosti</w:t>
            </w:r>
          </w:p>
        </w:tc>
        <w:tc>
          <w:tcPr>
            <w:tcW w:w="1632" w:type="dxa"/>
            <w:shd w:val="clear" w:color="auto" w:fill="B5C0D8"/>
          </w:tcPr>
          <w:p w14:paraId="2CEB82EB" w14:textId="77777777" w:rsidR="00BF6314" w:rsidRDefault="003E3176">
            <w:pPr>
              <w:pStyle w:val="CellHeader"/>
            </w:pPr>
            <w:r>
              <w:rPr>
                <w:rFonts w:cs="Times New Roman"/>
              </w:rPr>
              <w:t>Izvršenje 2023. (eur)</w:t>
            </w:r>
          </w:p>
        </w:tc>
        <w:tc>
          <w:tcPr>
            <w:tcW w:w="1632" w:type="dxa"/>
            <w:shd w:val="clear" w:color="auto" w:fill="B5C0D8"/>
          </w:tcPr>
          <w:p w14:paraId="620A4271" w14:textId="77777777" w:rsidR="00BF6314" w:rsidRDefault="003E3176">
            <w:pPr>
              <w:pStyle w:val="CellHeader"/>
            </w:pPr>
            <w:r>
              <w:rPr>
                <w:rFonts w:cs="Times New Roman"/>
              </w:rPr>
              <w:t>Plan 2024. (eur)</w:t>
            </w:r>
          </w:p>
        </w:tc>
        <w:tc>
          <w:tcPr>
            <w:tcW w:w="1632" w:type="dxa"/>
            <w:shd w:val="clear" w:color="auto" w:fill="B5C0D8"/>
          </w:tcPr>
          <w:p w14:paraId="3EA3D76C" w14:textId="77777777" w:rsidR="00BF6314" w:rsidRDefault="003E3176">
            <w:pPr>
              <w:pStyle w:val="CellHeader"/>
            </w:pPr>
            <w:r>
              <w:rPr>
                <w:rFonts w:cs="Times New Roman"/>
              </w:rPr>
              <w:t>Plan 2025. (eur)</w:t>
            </w:r>
          </w:p>
        </w:tc>
        <w:tc>
          <w:tcPr>
            <w:tcW w:w="1632" w:type="dxa"/>
            <w:shd w:val="clear" w:color="auto" w:fill="B5C0D8"/>
          </w:tcPr>
          <w:p w14:paraId="2E8C1311" w14:textId="77777777" w:rsidR="00BF6314" w:rsidRDefault="003E3176">
            <w:pPr>
              <w:pStyle w:val="CellHeader"/>
            </w:pPr>
            <w:r>
              <w:rPr>
                <w:rFonts w:cs="Times New Roman"/>
              </w:rPr>
              <w:t>Plan 2026. (eur)</w:t>
            </w:r>
          </w:p>
        </w:tc>
        <w:tc>
          <w:tcPr>
            <w:tcW w:w="1632" w:type="dxa"/>
            <w:shd w:val="clear" w:color="auto" w:fill="B5C0D8"/>
          </w:tcPr>
          <w:p w14:paraId="4EC43BEE" w14:textId="77777777" w:rsidR="00BF6314" w:rsidRDefault="003E3176">
            <w:pPr>
              <w:pStyle w:val="CellHeader"/>
            </w:pPr>
            <w:r>
              <w:rPr>
                <w:rFonts w:cs="Times New Roman"/>
              </w:rPr>
              <w:t>Plan 2027. (eur)</w:t>
            </w:r>
          </w:p>
        </w:tc>
        <w:tc>
          <w:tcPr>
            <w:tcW w:w="510" w:type="dxa"/>
            <w:shd w:val="clear" w:color="auto" w:fill="B5C0D8"/>
          </w:tcPr>
          <w:p w14:paraId="593C019C" w14:textId="77777777" w:rsidR="00BF6314" w:rsidRDefault="003E3176">
            <w:pPr>
              <w:pStyle w:val="CellHeader"/>
            </w:pPr>
            <w:r>
              <w:rPr>
                <w:rFonts w:cs="Times New Roman"/>
              </w:rPr>
              <w:t>Indeks 2025/2024</w:t>
            </w:r>
          </w:p>
        </w:tc>
      </w:tr>
      <w:tr w:rsidR="00BF6314" w14:paraId="639314DF" w14:textId="77777777">
        <w:trPr>
          <w:jc w:val="center"/>
        </w:trPr>
        <w:tc>
          <w:tcPr>
            <w:tcW w:w="1530" w:type="dxa"/>
          </w:tcPr>
          <w:p w14:paraId="76826E72" w14:textId="77777777" w:rsidR="00BF6314" w:rsidRDefault="003E3176">
            <w:pPr>
              <w:pStyle w:val="CellColumn"/>
            </w:pPr>
            <w:r>
              <w:rPr>
                <w:rFonts w:cs="Times New Roman"/>
              </w:rPr>
              <w:t>A658069-STATISTIKA GRAĐEVINARSTVA I STANOVANJA</w:t>
            </w:r>
          </w:p>
        </w:tc>
        <w:tc>
          <w:tcPr>
            <w:tcW w:w="1632" w:type="dxa"/>
          </w:tcPr>
          <w:p w14:paraId="04D3FAD6" w14:textId="77777777" w:rsidR="00BF6314" w:rsidRDefault="003E3176">
            <w:pPr>
              <w:pStyle w:val="CellColumn"/>
            </w:pPr>
            <w:r>
              <w:rPr>
                <w:rFonts w:cs="Times New Roman"/>
              </w:rPr>
              <w:t>84.310</w:t>
            </w:r>
          </w:p>
        </w:tc>
        <w:tc>
          <w:tcPr>
            <w:tcW w:w="1632" w:type="dxa"/>
          </w:tcPr>
          <w:p w14:paraId="534A9B1D" w14:textId="77777777" w:rsidR="00BF6314" w:rsidRDefault="003E3176">
            <w:pPr>
              <w:pStyle w:val="CellColumn"/>
            </w:pPr>
            <w:r>
              <w:rPr>
                <w:rFonts w:cs="Times New Roman"/>
              </w:rPr>
              <w:t>86.250</w:t>
            </w:r>
          </w:p>
        </w:tc>
        <w:tc>
          <w:tcPr>
            <w:tcW w:w="1632" w:type="dxa"/>
          </w:tcPr>
          <w:p w14:paraId="702D8A4A" w14:textId="77777777" w:rsidR="00BF6314" w:rsidRDefault="003E3176">
            <w:pPr>
              <w:pStyle w:val="CellColumn"/>
            </w:pPr>
            <w:r>
              <w:rPr>
                <w:rFonts w:cs="Times New Roman"/>
              </w:rPr>
              <w:t>92.900</w:t>
            </w:r>
          </w:p>
        </w:tc>
        <w:tc>
          <w:tcPr>
            <w:tcW w:w="1632" w:type="dxa"/>
          </w:tcPr>
          <w:p w14:paraId="1E1F2229" w14:textId="77777777" w:rsidR="00BF6314" w:rsidRDefault="003E3176">
            <w:pPr>
              <w:pStyle w:val="CellColumn"/>
            </w:pPr>
            <w:r>
              <w:rPr>
                <w:rFonts w:cs="Times New Roman"/>
              </w:rPr>
              <w:t>92.900</w:t>
            </w:r>
          </w:p>
        </w:tc>
        <w:tc>
          <w:tcPr>
            <w:tcW w:w="1632" w:type="dxa"/>
          </w:tcPr>
          <w:p w14:paraId="2B6E3A50" w14:textId="77777777" w:rsidR="00BF6314" w:rsidRDefault="003E3176">
            <w:pPr>
              <w:pStyle w:val="CellColumn"/>
            </w:pPr>
            <w:r>
              <w:rPr>
                <w:rFonts w:cs="Times New Roman"/>
              </w:rPr>
              <w:t>92.900</w:t>
            </w:r>
          </w:p>
        </w:tc>
        <w:tc>
          <w:tcPr>
            <w:tcW w:w="510" w:type="dxa"/>
          </w:tcPr>
          <w:p w14:paraId="3EBFEA7A" w14:textId="77777777" w:rsidR="00BF6314" w:rsidRDefault="003E3176">
            <w:pPr>
              <w:pStyle w:val="CellColumn"/>
            </w:pPr>
            <w:r>
              <w:rPr>
                <w:rFonts w:cs="Times New Roman"/>
              </w:rPr>
              <w:t>107,7</w:t>
            </w:r>
          </w:p>
        </w:tc>
      </w:tr>
    </w:tbl>
    <w:p w14:paraId="1C94A4F4" w14:textId="77777777" w:rsidR="00BF6314" w:rsidRDefault="00BF6314">
      <w:pPr>
        <w:jc w:val="left"/>
      </w:pPr>
    </w:p>
    <w:p w14:paraId="0D88D460" w14:textId="77777777" w:rsidR="00BF6314" w:rsidRDefault="003E3176">
      <w:r>
        <w:t xml:space="preserve">Cilj ove aktivnosti je izvršiti godišnji popis završenih zgrada i stanova. Godišnji izvještaj o završenim zgradama i stanovima (obrazac GRAĐ-10) provodi se metodom popisivanja. Glavni cilj ovog istraživanja je dobivanje podataka o završenim zgradama i stanovima u izvještajnoj godini. Kako o toj pojavi nema cjelovitog administrativnog ili nekog drugog izvora podataka iz kojeg bi Zavod mogao preuzimati podatke o završenim zgradama i stanovima, podaci se prikupljaju popisom završenih zgrada na području svake županije i Grada Zagreba. Osnova za popis su podaci o izdanim građevinskim dozvolama za građenje zgrada. Na temelju tih dozvola (u proteklim godinama i u tekućoj) popisivači potkraj godine obilaze teren kako bi ustanovili koje su od tih zgrada završene u izvještajnoj godini. Zbog specifičnosti posla popisivači trebaju biti stručne osobe u tijelima graditeljstva koje rade na izdavanju akata kojima se odobrava građenje te koje su dobro upoznate s teritorijalnim ustrojem svoje županije odnosno granicama područja gradova, općina i naselja. Planirana sredstva predviđena su za isplatu naknada sudionicima popisa u županijama i Gradu Zagrebu.  </w:t>
      </w:r>
    </w:p>
    <w:p w14:paraId="55480F09" w14:textId="77777777" w:rsidR="00BF6314" w:rsidRDefault="003E3176">
      <w:r>
        <w:t xml:space="preserve">Podaci o završenim zgradama i stanovima, koriste se u Zavodu u Sektoru makroekonomskih statistika kao inputi za pokazatelje u skladu sa zahtjevima EU-a, te su ključni kako za domaće tako i za strane korisnike za: analizu stanja i utvrđivanje trendova na tržištu nekretnina te za poduzimanje mjera u području gradnje zgrada i stanova, procjenu veličine tržišta na razini Republike Hrvatske, županija te gradova/općina u vezi s donošenjem investicijskih i drugih poslovnih odluka. </w:t>
      </w:r>
    </w:p>
    <w:p w14:paraId="4875B3E5" w14:textId="77777777" w:rsidR="00BF6314" w:rsidRDefault="003E3176">
      <w:r>
        <w:t xml:space="preserve">Osim toga od strane Eurostata u pripremi je zahtjev za novim pokazateljima (Commercial real estate indicators), među tim pokazateljima su i tromjesečni podaci o površini završenih poslovnih nekretnina. </w:t>
      </w:r>
    </w:p>
    <w:p w14:paraId="66833A0C" w14:textId="77777777" w:rsidR="00BF6314" w:rsidRDefault="003E3176">
      <w:r>
        <w:t xml:space="preserve">S obzirom da nije moguće predvidjeti koliko će zgrada za koje su izdane građevinske dozvole (u tekućoj i prijašnjim godinama) biti završeno u izvještajnoj godini (prema Adresaru zgrada u kojem se nalazi popis svih nezavršenih zgrada trenutno se nalazi preko 22.000 zgrada), u financijskom planu za 2025. godinu planirano je 92.900 EUR, za 2026. godinu 92.900 EUR i za 2027. godinu 92.900 EUR. </w:t>
      </w:r>
    </w:p>
    <w:p w14:paraId="5356C0BD" w14:textId="77777777" w:rsidR="00BF6314" w:rsidRDefault="003E3176">
      <w:r>
        <w:t xml:space="preserve">Pokazatelji/kriteriji na kojima se zasnivaju izračuni i procjena financijskih sredstava potrebnih za provođenje istraživanja u svakoj godini jesu:  </w:t>
      </w:r>
    </w:p>
    <w:p w14:paraId="422CFF75" w14:textId="77777777" w:rsidR="00BF6314" w:rsidRDefault="003E3176">
      <w:r>
        <w:t xml:space="preserve">1. Prosječan broj završenih zgrada (u zadnjih 10 godina) u sjedištu popisa x naknada po popunjenom obrascu x 7,5% doprinosa na zdravstveno osiguranje: 3.500 zgrada x 7,30 EUR x 7,5% = 27.466,25 EUR  </w:t>
      </w:r>
    </w:p>
    <w:p w14:paraId="5350FB74" w14:textId="77777777" w:rsidR="00BF6314" w:rsidRDefault="003E3176">
      <w:r>
        <w:t xml:space="preserve">2. Prosječan broj završenih zgrada (u zadnjih 10 godina) izvan sjedišta popisa x naknada po popunjenom obrascu x 7,5% doprinosa na zdravstveno osiguranje: 4.200 zgrada x 8,6 EUR x 7,5% = 38.829,00 EUR </w:t>
      </w:r>
    </w:p>
    <w:p w14:paraId="64CB63B6" w14:textId="77777777" w:rsidR="00BF6314" w:rsidRDefault="003E3176">
      <w:r>
        <w:t>3. Naknada za sudjelovanje u obuci i za obilazak terena za svakog popisivača 150,00 EUR x 7,5% doprinosa na zdravstveno osiguranje: 165 popisivača x 150,00 EUR x 7,5%  = 26.606,25 EUR.</w:t>
      </w:r>
    </w:p>
    <w:p w14:paraId="69BD1D66" w14:textId="77777777" w:rsidR="00BF6314" w:rsidRDefault="003E3176">
      <w:pPr>
        <w:pStyle w:val="Heading8"/>
        <w:jc w:val="left"/>
      </w:pPr>
      <w:r>
        <w:t>Pokazatelji rezultata</w:t>
      </w:r>
    </w:p>
    <w:tbl>
      <w:tblPr>
        <w:tblStyle w:val="StilTablice"/>
        <w:tblW w:w="10206" w:type="dxa"/>
        <w:jc w:val="center"/>
        <w:tblLook w:val="04A0" w:firstRow="1" w:lastRow="0" w:firstColumn="1" w:lastColumn="0" w:noHBand="0" w:noVBand="1"/>
      </w:tblPr>
      <w:tblGrid>
        <w:gridCol w:w="1806"/>
        <w:gridCol w:w="1863"/>
        <w:gridCol w:w="1710"/>
        <w:gridCol w:w="917"/>
        <w:gridCol w:w="1159"/>
        <w:gridCol w:w="917"/>
        <w:gridCol w:w="917"/>
        <w:gridCol w:w="917"/>
      </w:tblGrid>
      <w:tr w:rsidR="00BF6314" w14:paraId="6231B330" w14:textId="77777777">
        <w:trPr>
          <w:jc w:val="center"/>
        </w:trPr>
        <w:tc>
          <w:tcPr>
            <w:tcW w:w="2245" w:type="dxa"/>
            <w:shd w:val="clear" w:color="auto" w:fill="B5C0D8"/>
          </w:tcPr>
          <w:p w14:paraId="171DBB8E" w14:textId="77777777" w:rsidR="00BF6314" w:rsidRDefault="003E3176">
            <w:r>
              <w:t>Pokazatelj rezultata</w:t>
            </w:r>
          </w:p>
        </w:tc>
        <w:tc>
          <w:tcPr>
            <w:tcW w:w="2245" w:type="dxa"/>
            <w:shd w:val="clear" w:color="auto" w:fill="B5C0D8"/>
          </w:tcPr>
          <w:p w14:paraId="6AB106D5" w14:textId="77777777" w:rsidR="00BF6314" w:rsidRDefault="003E3176">
            <w:pPr>
              <w:pStyle w:val="CellHeader"/>
            </w:pPr>
            <w:r>
              <w:rPr>
                <w:rFonts w:cs="Times New Roman"/>
              </w:rPr>
              <w:t>Definicija</w:t>
            </w:r>
          </w:p>
        </w:tc>
        <w:tc>
          <w:tcPr>
            <w:tcW w:w="2245" w:type="dxa"/>
            <w:shd w:val="clear" w:color="auto" w:fill="B5C0D8"/>
          </w:tcPr>
          <w:p w14:paraId="246007D3" w14:textId="77777777" w:rsidR="00BF6314" w:rsidRDefault="003E3176">
            <w:pPr>
              <w:pStyle w:val="CellHeader"/>
            </w:pPr>
            <w:r>
              <w:rPr>
                <w:rFonts w:cs="Times New Roman"/>
              </w:rPr>
              <w:t>Jedinica</w:t>
            </w:r>
          </w:p>
        </w:tc>
        <w:tc>
          <w:tcPr>
            <w:tcW w:w="918" w:type="dxa"/>
            <w:shd w:val="clear" w:color="auto" w:fill="B5C0D8"/>
          </w:tcPr>
          <w:p w14:paraId="1318F974" w14:textId="77777777" w:rsidR="00BF6314" w:rsidRDefault="003E3176">
            <w:pPr>
              <w:pStyle w:val="CellHeader"/>
            </w:pPr>
            <w:r>
              <w:rPr>
                <w:rFonts w:cs="Times New Roman"/>
              </w:rPr>
              <w:t>Polazna vrijednost</w:t>
            </w:r>
          </w:p>
        </w:tc>
        <w:tc>
          <w:tcPr>
            <w:tcW w:w="918" w:type="dxa"/>
            <w:shd w:val="clear" w:color="auto" w:fill="B5C0D8"/>
          </w:tcPr>
          <w:p w14:paraId="40269BC6" w14:textId="77777777" w:rsidR="00BF6314" w:rsidRDefault="003E3176">
            <w:pPr>
              <w:pStyle w:val="CellHeader"/>
            </w:pPr>
            <w:r>
              <w:rPr>
                <w:rFonts w:cs="Times New Roman"/>
              </w:rPr>
              <w:t>Izvor podataka</w:t>
            </w:r>
          </w:p>
        </w:tc>
        <w:tc>
          <w:tcPr>
            <w:tcW w:w="918" w:type="dxa"/>
            <w:shd w:val="clear" w:color="auto" w:fill="B5C0D8"/>
          </w:tcPr>
          <w:p w14:paraId="2432E375" w14:textId="77777777" w:rsidR="00BF6314" w:rsidRDefault="003E3176">
            <w:pPr>
              <w:pStyle w:val="CellHeader"/>
            </w:pPr>
            <w:r>
              <w:rPr>
                <w:rFonts w:cs="Times New Roman"/>
              </w:rPr>
              <w:t>Ciljana vrijednost (2025.)</w:t>
            </w:r>
          </w:p>
        </w:tc>
        <w:tc>
          <w:tcPr>
            <w:tcW w:w="918" w:type="dxa"/>
            <w:shd w:val="clear" w:color="auto" w:fill="B5C0D8"/>
          </w:tcPr>
          <w:p w14:paraId="4F4CC1E4" w14:textId="77777777" w:rsidR="00BF6314" w:rsidRDefault="003E3176">
            <w:pPr>
              <w:pStyle w:val="CellHeader"/>
            </w:pPr>
            <w:r>
              <w:rPr>
                <w:rFonts w:cs="Times New Roman"/>
              </w:rPr>
              <w:t>Ciljana vrijednost (2026.)</w:t>
            </w:r>
          </w:p>
        </w:tc>
        <w:tc>
          <w:tcPr>
            <w:tcW w:w="918" w:type="dxa"/>
            <w:shd w:val="clear" w:color="auto" w:fill="B5C0D8"/>
          </w:tcPr>
          <w:p w14:paraId="4EB71F1E" w14:textId="77777777" w:rsidR="00BF6314" w:rsidRDefault="003E3176">
            <w:pPr>
              <w:pStyle w:val="CellHeader"/>
            </w:pPr>
            <w:r>
              <w:rPr>
                <w:rFonts w:cs="Times New Roman"/>
              </w:rPr>
              <w:t>Ciljana vrijednost (2027.)</w:t>
            </w:r>
          </w:p>
        </w:tc>
      </w:tr>
      <w:tr w:rsidR="00BF6314" w14:paraId="006B98C5" w14:textId="77777777">
        <w:trPr>
          <w:jc w:val="center"/>
        </w:trPr>
        <w:tc>
          <w:tcPr>
            <w:tcW w:w="2245" w:type="dxa"/>
          </w:tcPr>
          <w:p w14:paraId="27B42ADB" w14:textId="77777777" w:rsidR="00BF6314" w:rsidRDefault="003E3176">
            <w:pPr>
              <w:pStyle w:val="CellColumn"/>
            </w:pPr>
            <w:r>
              <w:rPr>
                <w:rFonts w:cs="Times New Roman"/>
              </w:rPr>
              <w:lastRenderedPageBreak/>
              <w:t>Provedeno istraživanje »Godišnji izvještaj o završenim zgradama i stanovima (obrazac GRAĐ-10)«</w:t>
            </w:r>
          </w:p>
        </w:tc>
        <w:tc>
          <w:tcPr>
            <w:tcW w:w="2245" w:type="dxa"/>
          </w:tcPr>
          <w:p w14:paraId="45DCD50C" w14:textId="77777777" w:rsidR="00BF6314" w:rsidRDefault="003E3176">
            <w:pPr>
              <w:pStyle w:val="CellColumn"/>
            </w:pPr>
            <w:r>
              <w:rPr>
                <w:rFonts w:cs="Times New Roman"/>
              </w:rPr>
              <w:t>Provedenim istraživanjem »Godišnji izvještaj o završenim zgradama i stanovima« prikupiti će se podaci o završenim zgradama i stanovima u izvještajnoj godini</w:t>
            </w:r>
          </w:p>
        </w:tc>
        <w:tc>
          <w:tcPr>
            <w:tcW w:w="918" w:type="dxa"/>
          </w:tcPr>
          <w:p w14:paraId="43E5FDC2" w14:textId="77777777" w:rsidR="00BF6314" w:rsidRDefault="003E3176">
            <w:pPr>
              <w:pStyle w:val="CellColumn"/>
            </w:pPr>
            <w:r>
              <w:rPr>
                <w:rFonts w:cs="Times New Roman"/>
              </w:rPr>
              <w:t>Broj</w:t>
            </w:r>
          </w:p>
        </w:tc>
        <w:tc>
          <w:tcPr>
            <w:tcW w:w="918" w:type="dxa"/>
          </w:tcPr>
          <w:p w14:paraId="6944D17E" w14:textId="77777777" w:rsidR="00BF6314" w:rsidRDefault="003E3176">
            <w:pPr>
              <w:pStyle w:val="CellColumn"/>
            </w:pPr>
            <w:r>
              <w:rPr>
                <w:rFonts w:cs="Times New Roman"/>
              </w:rPr>
              <w:t>1</w:t>
            </w:r>
          </w:p>
        </w:tc>
        <w:tc>
          <w:tcPr>
            <w:tcW w:w="918" w:type="dxa"/>
          </w:tcPr>
          <w:p w14:paraId="1025BCB2" w14:textId="77777777" w:rsidR="00BF6314" w:rsidRDefault="003E3176">
            <w:pPr>
              <w:pStyle w:val="CellColumn"/>
            </w:pPr>
            <w:r>
              <w:rPr>
                <w:rFonts w:cs="Times New Roman"/>
              </w:rPr>
              <w:t>Izvješće o izvršenju Godišnjega provedbenog plana statističkih aktivnosti Republike Hrvatske</w:t>
            </w:r>
          </w:p>
        </w:tc>
        <w:tc>
          <w:tcPr>
            <w:tcW w:w="918" w:type="dxa"/>
          </w:tcPr>
          <w:p w14:paraId="12C4BE0D" w14:textId="77777777" w:rsidR="00BF6314" w:rsidRDefault="003E3176">
            <w:pPr>
              <w:pStyle w:val="CellColumn"/>
            </w:pPr>
            <w:r>
              <w:rPr>
                <w:rFonts w:cs="Times New Roman"/>
              </w:rPr>
              <w:t>1</w:t>
            </w:r>
          </w:p>
        </w:tc>
        <w:tc>
          <w:tcPr>
            <w:tcW w:w="918" w:type="dxa"/>
          </w:tcPr>
          <w:p w14:paraId="20BBB3D8" w14:textId="77777777" w:rsidR="00BF6314" w:rsidRDefault="003E3176">
            <w:pPr>
              <w:pStyle w:val="CellColumn"/>
            </w:pPr>
            <w:r>
              <w:rPr>
                <w:rFonts w:cs="Times New Roman"/>
              </w:rPr>
              <w:t>1</w:t>
            </w:r>
          </w:p>
        </w:tc>
        <w:tc>
          <w:tcPr>
            <w:tcW w:w="918" w:type="dxa"/>
          </w:tcPr>
          <w:p w14:paraId="5BEF2502" w14:textId="77777777" w:rsidR="00BF6314" w:rsidRDefault="003E3176">
            <w:pPr>
              <w:pStyle w:val="CellColumn"/>
            </w:pPr>
            <w:r>
              <w:rPr>
                <w:rFonts w:cs="Times New Roman"/>
              </w:rPr>
              <w:t>1</w:t>
            </w:r>
          </w:p>
        </w:tc>
      </w:tr>
    </w:tbl>
    <w:p w14:paraId="3AD06547" w14:textId="77777777" w:rsidR="00BF6314" w:rsidRDefault="00BF6314">
      <w:pPr>
        <w:jc w:val="left"/>
      </w:pPr>
    </w:p>
    <w:p w14:paraId="67CA38F9" w14:textId="77777777" w:rsidR="00BF6314" w:rsidRDefault="003E3176">
      <w:pPr>
        <w:pStyle w:val="Heading4"/>
      </w:pPr>
      <w:r>
        <w:t>A658106 PUBLICISTIKA I INFORMACIJE</w:t>
      </w:r>
    </w:p>
    <w:p w14:paraId="53F88824" w14:textId="77777777" w:rsidR="00BF6314" w:rsidRDefault="003E3176">
      <w:pPr>
        <w:pStyle w:val="Heading8"/>
        <w:jc w:val="left"/>
      </w:pPr>
      <w:r>
        <w:t>Zakonske i druge pravne osnove</w:t>
      </w:r>
    </w:p>
    <w:p w14:paraId="008BA533" w14:textId="77777777" w:rsidR="00BF6314" w:rsidRDefault="003E3176">
      <w:pPr>
        <w:pStyle w:val="Normal5"/>
      </w:pPr>
      <w:r>
        <w:t xml:space="preserve">Zakon o službenoj statistici   </w:t>
      </w:r>
    </w:p>
    <w:p w14:paraId="084D3A05" w14:textId="77777777" w:rsidR="00BF6314" w:rsidRDefault="003E3176">
      <w:pPr>
        <w:pStyle w:val="Normal5"/>
      </w:pPr>
      <w:r>
        <w:t>Godišnji provedbeni plan statističkih aktivnosti Republike Hrvatske</w:t>
      </w:r>
    </w:p>
    <w:tbl>
      <w:tblPr>
        <w:tblStyle w:val="StilTablice"/>
        <w:tblW w:w="10206" w:type="dxa"/>
        <w:jc w:val="center"/>
        <w:tblLook w:val="04A0" w:firstRow="1" w:lastRow="0" w:firstColumn="1" w:lastColumn="0" w:noHBand="0" w:noVBand="1"/>
      </w:tblPr>
      <w:tblGrid>
        <w:gridCol w:w="1526"/>
        <w:gridCol w:w="1550"/>
        <w:gridCol w:w="1540"/>
        <w:gridCol w:w="1540"/>
        <w:gridCol w:w="1540"/>
        <w:gridCol w:w="1540"/>
        <w:gridCol w:w="970"/>
      </w:tblGrid>
      <w:tr w:rsidR="00BF6314" w14:paraId="1DA4CA84" w14:textId="77777777">
        <w:trPr>
          <w:jc w:val="center"/>
        </w:trPr>
        <w:tc>
          <w:tcPr>
            <w:tcW w:w="1530" w:type="dxa"/>
            <w:shd w:val="clear" w:color="auto" w:fill="B5C0D8"/>
          </w:tcPr>
          <w:p w14:paraId="15B796E8" w14:textId="77777777" w:rsidR="00BF6314" w:rsidRDefault="003E3176">
            <w:pPr>
              <w:pStyle w:val="CellHeader"/>
            </w:pPr>
            <w:r>
              <w:rPr>
                <w:rFonts w:cs="Times New Roman"/>
              </w:rPr>
              <w:t>Naziv aktivnosti</w:t>
            </w:r>
          </w:p>
        </w:tc>
        <w:tc>
          <w:tcPr>
            <w:tcW w:w="1632" w:type="dxa"/>
            <w:shd w:val="clear" w:color="auto" w:fill="B5C0D8"/>
          </w:tcPr>
          <w:p w14:paraId="3F24ED07" w14:textId="77777777" w:rsidR="00BF6314" w:rsidRDefault="003E3176">
            <w:pPr>
              <w:pStyle w:val="CellHeader"/>
            </w:pPr>
            <w:r>
              <w:rPr>
                <w:rFonts w:cs="Times New Roman"/>
              </w:rPr>
              <w:t>Izvršenje 2023. (eur)</w:t>
            </w:r>
          </w:p>
        </w:tc>
        <w:tc>
          <w:tcPr>
            <w:tcW w:w="1632" w:type="dxa"/>
            <w:shd w:val="clear" w:color="auto" w:fill="B5C0D8"/>
          </w:tcPr>
          <w:p w14:paraId="06A60438" w14:textId="77777777" w:rsidR="00BF6314" w:rsidRDefault="003E3176">
            <w:pPr>
              <w:pStyle w:val="CellHeader"/>
            </w:pPr>
            <w:r>
              <w:rPr>
                <w:rFonts w:cs="Times New Roman"/>
              </w:rPr>
              <w:t>Plan 2024. (eur)</w:t>
            </w:r>
          </w:p>
        </w:tc>
        <w:tc>
          <w:tcPr>
            <w:tcW w:w="1632" w:type="dxa"/>
            <w:shd w:val="clear" w:color="auto" w:fill="B5C0D8"/>
          </w:tcPr>
          <w:p w14:paraId="29FC8BE5" w14:textId="77777777" w:rsidR="00BF6314" w:rsidRDefault="003E3176">
            <w:pPr>
              <w:pStyle w:val="CellHeader"/>
            </w:pPr>
            <w:r>
              <w:rPr>
                <w:rFonts w:cs="Times New Roman"/>
              </w:rPr>
              <w:t>Plan 2025. (eur)</w:t>
            </w:r>
          </w:p>
        </w:tc>
        <w:tc>
          <w:tcPr>
            <w:tcW w:w="1632" w:type="dxa"/>
            <w:shd w:val="clear" w:color="auto" w:fill="B5C0D8"/>
          </w:tcPr>
          <w:p w14:paraId="588FA8D5" w14:textId="77777777" w:rsidR="00BF6314" w:rsidRDefault="003E3176">
            <w:pPr>
              <w:pStyle w:val="CellHeader"/>
            </w:pPr>
            <w:r>
              <w:rPr>
                <w:rFonts w:cs="Times New Roman"/>
              </w:rPr>
              <w:t>Plan 2026. (eur)</w:t>
            </w:r>
          </w:p>
        </w:tc>
        <w:tc>
          <w:tcPr>
            <w:tcW w:w="1632" w:type="dxa"/>
            <w:shd w:val="clear" w:color="auto" w:fill="B5C0D8"/>
          </w:tcPr>
          <w:p w14:paraId="1A4CC8A6" w14:textId="77777777" w:rsidR="00BF6314" w:rsidRDefault="003E3176">
            <w:pPr>
              <w:pStyle w:val="CellHeader"/>
            </w:pPr>
            <w:r>
              <w:rPr>
                <w:rFonts w:cs="Times New Roman"/>
              </w:rPr>
              <w:t>Plan 2027. (eur)</w:t>
            </w:r>
          </w:p>
        </w:tc>
        <w:tc>
          <w:tcPr>
            <w:tcW w:w="510" w:type="dxa"/>
            <w:shd w:val="clear" w:color="auto" w:fill="B5C0D8"/>
          </w:tcPr>
          <w:p w14:paraId="0EBA56E8" w14:textId="77777777" w:rsidR="00BF6314" w:rsidRDefault="003E3176">
            <w:pPr>
              <w:pStyle w:val="CellHeader"/>
            </w:pPr>
            <w:r>
              <w:rPr>
                <w:rFonts w:cs="Times New Roman"/>
              </w:rPr>
              <w:t>Indeks 2025/2024</w:t>
            </w:r>
          </w:p>
        </w:tc>
      </w:tr>
      <w:tr w:rsidR="00BF6314" w14:paraId="1D9440CD" w14:textId="77777777">
        <w:trPr>
          <w:jc w:val="center"/>
        </w:trPr>
        <w:tc>
          <w:tcPr>
            <w:tcW w:w="1530" w:type="dxa"/>
          </w:tcPr>
          <w:p w14:paraId="55F9E153" w14:textId="77777777" w:rsidR="00BF6314" w:rsidRDefault="003E3176">
            <w:pPr>
              <w:pStyle w:val="CellColumn"/>
            </w:pPr>
            <w:r>
              <w:rPr>
                <w:rFonts w:cs="Times New Roman"/>
              </w:rPr>
              <w:t>A658106-PUBLICISTIKA I INFORMACIJE</w:t>
            </w:r>
          </w:p>
        </w:tc>
        <w:tc>
          <w:tcPr>
            <w:tcW w:w="1632" w:type="dxa"/>
          </w:tcPr>
          <w:p w14:paraId="6E460FE8" w14:textId="77777777" w:rsidR="00BF6314" w:rsidRDefault="003E3176">
            <w:pPr>
              <w:pStyle w:val="CellColumn"/>
            </w:pPr>
            <w:r>
              <w:rPr>
                <w:rFonts w:cs="Times New Roman"/>
              </w:rPr>
              <w:t>62.584</w:t>
            </w:r>
          </w:p>
        </w:tc>
        <w:tc>
          <w:tcPr>
            <w:tcW w:w="1632" w:type="dxa"/>
          </w:tcPr>
          <w:p w14:paraId="10DD208F" w14:textId="77777777" w:rsidR="00BF6314" w:rsidRDefault="003E3176">
            <w:pPr>
              <w:pStyle w:val="CellColumn"/>
            </w:pPr>
            <w:r>
              <w:rPr>
                <w:rFonts w:cs="Times New Roman"/>
              </w:rPr>
              <w:t>103.228</w:t>
            </w:r>
          </w:p>
        </w:tc>
        <w:tc>
          <w:tcPr>
            <w:tcW w:w="1632" w:type="dxa"/>
          </w:tcPr>
          <w:p w14:paraId="0E36C95F" w14:textId="77777777" w:rsidR="00BF6314" w:rsidRDefault="003E3176">
            <w:pPr>
              <w:pStyle w:val="CellColumn"/>
            </w:pPr>
            <w:r>
              <w:rPr>
                <w:rFonts w:cs="Times New Roman"/>
              </w:rPr>
              <w:t>166.344</w:t>
            </w:r>
          </w:p>
        </w:tc>
        <w:tc>
          <w:tcPr>
            <w:tcW w:w="1632" w:type="dxa"/>
          </w:tcPr>
          <w:p w14:paraId="66D7F68F" w14:textId="77777777" w:rsidR="00BF6314" w:rsidRDefault="003E3176">
            <w:pPr>
              <w:pStyle w:val="CellColumn"/>
            </w:pPr>
            <w:r>
              <w:rPr>
                <w:rFonts w:cs="Times New Roman"/>
              </w:rPr>
              <w:t>168.015</w:t>
            </w:r>
          </w:p>
        </w:tc>
        <w:tc>
          <w:tcPr>
            <w:tcW w:w="1632" w:type="dxa"/>
          </w:tcPr>
          <w:p w14:paraId="061ABCDF" w14:textId="77777777" w:rsidR="00BF6314" w:rsidRDefault="003E3176">
            <w:pPr>
              <w:pStyle w:val="CellColumn"/>
            </w:pPr>
            <w:r>
              <w:rPr>
                <w:rFonts w:cs="Times New Roman"/>
              </w:rPr>
              <w:t>169.175</w:t>
            </w:r>
          </w:p>
        </w:tc>
        <w:tc>
          <w:tcPr>
            <w:tcW w:w="510" w:type="dxa"/>
          </w:tcPr>
          <w:p w14:paraId="4ACC6039" w14:textId="77777777" w:rsidR="00BF6314" w:rsidRDefault="003E3176">
            <w:pPr>
              <w:pStyle w:val="CellColumn"/>
            </w:pPr>
            <w:r>
              <w:rPr>
                <w:rFonts w:cs="Times New Roman"/>
              </w:rPr>
              <w:t>161,1</w:t>
            </w:r>
          </w:p>
        </w:tc>
      </w:tr>
    </w:tbl>
    <w:p w14:paraId="5B86C6FF" w14:textId="77777777" w:rsidR="00BF6314" w:rsidRDefault="00BF6314">
      <w:pPr>
        <w:jc w:val="left"/>
      </w:pPr>
    </w:p>
    <w:p w14:paraId="5C8D0C43" w14:textId="77777777" w:rsidR="00BF6314" w:rsidRDefault="003E3176">
      <w:r>
        <w:t xml:space="preserve">Financijska sredstva planirana su na ovoj aktivnosti za potrebe diseminacije statističkih podataka, odnosno za tisak publikacija koje će biti najavljene u Kalendaru objavljivanja statističkih podataka za 2025., 2026. i 2027., za tisak obrazaca i uputa za provođenje statističkih istraživanja u skladu s Godišnjim provedbenim planom statističkih aktivnosti Zavoda za 2025., 2026. i 2027. te popratnih materijala i letaka za provođenje istraživanja. Osim navedenog, financijska sredstva planirana su za usluge promidžbe i informiranja (praćenje medijskih objava, oglašavanje na društvenim mrežama, promotivni materijal, obilježavanje 150 godina hrvatske statistike), popularizaciju službene statistike (Statističko natjecanje, statistički edukativni portal Stedy, izrada edukativnih i informativno-promotivnih materijala i videa te digitalnih publikacija) te daljnji razvoj odnosa s korisnicima.   </w:t>
      </w:r>
    </w:p>
    <w:p w14:paraId="2A1C4833" w14:textId="77777777" w:rsidR="00BF6314" w:rsidRDefault="003E3176">
      <w:r>
        <w:t>U 2025. sredstva za materijal i energiju planirana su u iznosu od 11.000 EUR, u 2026. u iznosu od 14.640 EUR,  dok su za 2027. planirana u iznosu od 12.300 EUR. Planirani rashodi za usluge u 2025. iznose 155.344 EUR,  u 2026. iznose 153.375 EUR, a u 2027. oni iznose 156.875 EUR.</w:t>
      </w:r>
    </w:p>
    <w:p w14:paraId="1A0A888C" w14:textId="77777777" w:rsidR="00BF6314" w:rsidRDefault="003E3176">
      <w:pPr>
        <w:pStyle w:val="Heading8"/>
        <w:jc w:val="left"/>
      </w:pPr>
      <w:r>
        <w:t>Pokazatelji rezultata</w:t>
      </w:r>
    </w:p>
    <w:tbl>
      <w:tblPr>
        <w:tblStyle w:val="StilTablice"/>
        <w:tblW w:w="10206" w:type="dxa"/>
        <w:jc w:val="center"/>
        <w:tblLook w:val="04A0" w:firstRow="1" w:lastRow="0" w:firstColumn="1" w:lastColumn="0" w:noHBand="0" w:noVBand="1"/>
      </w:tblPr>
      <w:tblGrid>
        <w:gridCol w:w="1892"/>
        <w:gridCol w:w="1978"/>
        <w:gridCol w:w="1776"/>
        <w:gridCol w:w="917"/>
        <w:gridCol w:w="892"/>
        <w:gridCol w:w="917"/>
        <w:gridCol w:w="917"/>
        <w:gridCol w:w="917"/>
      </w:tblGrid>
      <w:tr w:rsidR="00BF6314" w14:paraId="52EB7B5C" w14:textId="77777777">
        <w:trPr>
          <w:jc w:val="center"/>
        </w:trPr>
        <w:tc>
          <w:tcPr>
            <w:tcW w:w="2245" w:type="dxa"/>
            <w:shd w:val="clear" w:color="auto" w:fill="B5C0D8"/>
          </w:tcPr>
          <w:p w14:paraId="2125294B" w14:textId="77777777" w:rsidR="00BF6314" w:rsidRDefault="003E3176">
            <w:r>
              <w:t>Pokazatelj rezultata</w:t>
            </w:r>
          </w:p>
        </w:tc>
        <w:tc>
          <w:tcPr>
            <w:tcW w:w="2245" w:type="dxa"/>
            <w:shd w:val="clear" w:color="auto" w:fill="B5C0D8"/>
          </w:tcPr>
          <w:p w14:paraId="29ADF232" w14:textId="77777777" w:rsidR="00BF6314" w:rsidRDefault="003E3176">
            <w:pPr>
              <w:pStyle w:val="CellHeader"/>
            </w:pPr>
            <w:r>
              <w:rPr>
                <w:rFonts w:cs="Times New Roman"/>
              </w:rPr>
              <w:t>Definicija</w:t>
            </w:r>
          </w:p>
        </w:tc>
        <w:tc>
          <w:tcPr>
            <w:tcW w:w="2245" w:type="dxa"/>
            <w:shd w:val="clear" w:color="auto" w:fill="B5C0D8"/>
          </w:tcPr>
          <w:p w14:paraId="11313ABD" w14:textId="77777777" w:rsidR="00BF6314" w:rsidRDefault="003E3176">
            <w:pPr>
              <w:pStyle w:val="CellHeader"/>
            </w:pPr>
            <w:r>
              <w:rPr>
                <w:rFonts w:cs="Times New Roman"/>
              </w:rPr>
              <w:t>Jedinica</w:t>
            </w:r>
          </w:p>
        </w:tc>
        <w:tc>
          <w:tcPr>
            <w:tcW w:w="918" w:type="dxa"/>
            <w:shd w:val="clear" w:color="auto" w:fill="B5C0D8"/>
          </w:tcPr>
          <w:p w14:paraId="28A71E95" w14:textId="77777777" w:rsidR="00BF6314" w:rsidRDefault="003E3176">
            <w:pPr>
              <w:pStyle w:val="CellHeader"/>
            </w:pPr>
            <w:r>
              <w:rPr>
                <w:rFonts w:cs="Times New Roman"/>
              </w:rPr>
              <w:t>Polazna vrijednost</w:t>
            </w:r>
          </w:p>
        </w:tc>
        <w:tc>
          <w:tcPr>
            <w:tcW w:w="918" w:type="dxa"/>
            <w:shd w:val="clear" w:color="auto" w:fill="B5C0D8"/>
          </w:tcPr>
          <w:p w14:paraId="2E4CFD44" w14:textId="77777777" w:rsidR="00BF6314" w:rsidRDefault="003E3176">
            <w:pPr>
              <w:pStyle w:val="CellHeader"/>
            </w:pPr>
            <w:r>
              <w:rPr>
                <w:rFonts w:cs="Times New Roman"/>
              </w:rPr>
              <w:t>Izvor podataka</w:t>
            </w:r>
          </w:p>
        </w:tc>
        <w:tc>
          <w:tcPr>
            <w:tcW w:w="918" w:type="dxa"/>
            <w:shd w:val="clear" w:color="auto" w:fill="B5C0D8"/>
          </w:tcPr>
          <w:p w14:paraId="5A9CE9F3" w14:textId="77777777" w:rsidR="00BF6314" w:rsidRDefault="003E3176">
            <w:pPr>
              <w:pStyle w:val="CellHeader"/>
            </w:pPr>
            <w:r>
              <w:rPr>
                <w:rFonts w:cs="Times New Roman"/>
              </w:rPr>
              <w:t>Ciljana vrijednost (2025.)</w:t>
            </w:r>
          </w:p>
        </w:tc>
        <w:tc>
          <w:tcPr>
            <w:tcW w:w="918" w:type="dxa"/>
            <w:shd w:val="clear" w:color="auto" w:fill="B5C0D8"/>
          </w:tcPr>
          <w:p w14:paraId="50C7FDB9" w14:textId="77777777" w:rsidR="00BF6314" w:rsidRDefault="003E3176">
            <w:pPr>
              <w:pStyle w:val="CellHeader"/>
            </w:pPr>
            <w:r>
              <w:rPr>
                <w:rFonts w:cs="Times New Roman"/>
              </w:rPr>
              <w:t>Ciljana vrijednost (2026.)</w:t>
            </w:r>
          </w:p>
        </w:tc>
        <w:tc>
          <w:tcPr>
            <w:tcW w:w="918" w:type="dxa"/>
            <w:shd w:val="clear" w:color="auto" w:fill="B5C0D8"/>
          </w:tcPr>
          <w:p w14:paraId="235D7202" w14:textId="77777777" w:rsidR="00BF6314" w:rsidRDefault="003E3176">
            <w:pPr>
              <w:pStyle w:val="CellHeader"/>
            </w:pPr>
            <w:r>
              <w:rPr>
                <w:rFonts w:cs="Times New Roman"/>
              </w:rPr>
              <w:t>Ciljana vrijednost (2027.)</w:t>
            </w:r>
          </w:p>
        </w:tc>
      </w:tr>
      <w:tr w:rsidR="00BF6314" w14:paraId="50F9F8EF" w14:textId="77777777">
        <w:trPr>
          <w:jc w:val="center"/>
        </w:trPr>
        <w:tc>
          <w:tcPr>
            <w:tcW w:w="2245" w:type="dxa"/>
          </w:tcPr>
          <w:p w14:paraId="2EE860F3" w14:textId="77777777" w:rsidR="00BF6314" w:rsidRDefault="003E3176">
            <w:pPr>
              <w:pStyle w:val="CellColumn"/>
            </w:pPr>
            <w:r>
              <w:rPr>
                <w:rFonts w:cs="Times New Roman"/>
              </w:rPr>
              <w:t>Povećan broj raspoloživih baza podataka DZS-a za znanstvene svrhe</w:t>
            </w:r>
          </w:p>
        </w:tc>
        <w:tc>
          <w:tcPr>
            <w:tcW w:w="2245" w:type="dxa"/>
          </w:tcPr>
          <w:p w14:paraId="23DC0CAA" w14:textId="77777777" w:rsidR="00BF6314" w:rsidRDefault="003E3176">
            <w:pPr>
              <w:pStyle w:val="CellColumn"/>
            </w:pPr>
            <w:r>
              <w:rPr>
                <w:rFonts w:cs="Times New Roman"/>
              </w:rPr>
              <w:t>Povećanje raspoloživih baza podataka DZS-a za znanstvene svrhe trebalo bi omogućiti, jednoj od najvažnijih ciljnih skupina korisnika, znanstvenicima, bolju podlogu za donošenje kvalitetnih zaključaka utemeljenih na činjenicama.</w:t>
            </w:r>
          </w:p>
        </w:tc>
        <w:tc>
          <w:tcPr>
            <w:tcW w:w="918" w:type="dxa"/>
          </w:tcPr>
          <w:p w14:paraId="4BDEAD0D" w14:textId="77777777" w:rsidR="00BF6314" w:rsidRDefault="003E3176">
            <w:pPr>
              <w:pStyle w:val="CellColumn"/>
            </w:pPr>
            <w:r>
              <w:rPr>
                <w:rFonts w:cs="Times New Roman"/>
              </w:rPr>
              <w:t>Broj</w:t>
            </w:r>
          </w:p>
        </w:tc>
        <w:tc>
          <w:tcPr>
            <w:tcW w:w="918" w:type="dxa"/>
          </w:tcPr>
          <w:p w14:paraId="38A196A7" w14:textId="77777777" w:rsidR="00BF6314" w:rsidRDefault="003E3176">
            <w:pPr>
              <w:pStyle w:val="CellColumn"/>
            </w:pPr>
            <w:r>
              <w:rPr>
                <w:rFonts w:cs="Times New Roman"/>
              </w:rPr>
              <w:t>12</w:t>
            </w:r>
          </w:p>
        </w:tc>
        <w:tc>
          <w:tcPr>
            <w:tcW w:w="918" w:type="dxa"/>
          </w:tcPr>
          <w:p w14:paraId="2A1D50B9" w14:textId="77777777" w:rsidR="00BF6314" w:rsidRDefault="003E3176">
            <w:pPr>
              <w:pStyle w:val="CellColumn"/>
            </w:pPr>
            <w:r>
              <w:rPr>
                <w:rFonts w:cs="Times New Roman"/>
              </w:rPr>
              <w:t>DZS</w:t>
            </w:r>
          </w:p>
        </w:tc>
        <w:tc>
          <w:tcPr>
            <w:tcW w:w="918" w:type="dxa"/>
          </w:tcPr>
          <w:p w14:paraId="41AE8AB2" w14:textId="77777777" w:rsidR="00BF6314" w:rsidRDefault="003E3176">
            <w:pPr>
              <w:pStyle w:val="CellColumn"/>
            </w:pPr>
            <w:r>
              <w:rPr>
                <w:rFonts w:cs="Times New Roman"/>
              </w:rPr>
              <w:t>15</w:t>
            </w:r>
          </w:p>
        </w:tc>
        <w:tc>
          <w:tcPr>
            <w:tcW w:w="918" w:type="dxa"/>
          </w:tcPr>
          <w:p w14:paraId="600B9F0F" w14:textId="77777777" w:rsidR="00BF6314" w:rsidRDefault="003E3176">
            <w:pPr>
              <w:pStyle w:val="CellColumn"/>
            </w:pPr>
            <w:r>
              <w:rPr>
                <w:rFonts w:cs="Times New Roman"/>
              </w:rPr>
              <w:t>18</w:t>
            </w:r>
          </w:p>
        </w:tc>
        <w:tc>
          <w:tcPr>
            <w:tcW w:w="918" w:type="dxa"/>
          </w:tcPr>
          <w:p w14:paraId="38E1FED5" w14:textId="77777777" w:rsidR="00BF6314" w:rsidRDefault="003E3176">
            <w:pPr>
              <w:pStyle w:val="CellColumn"/>
            </w:pPr>
            <w:r>
              <w:rPr>
                <w:rFonts w:cs="Times New Roman"/>
              </w:rPr>
              <w:t>21</w:t>
            </w:r>
          </w:p>
        </w:tc>
      </w:tr>
      <w:tr w:rsidR="00BF6314" w14:paraId="65690263" w14:textId="77777777">
        <w:trPr>
          <w:jc w:val="center"/>
        </w:trPr>
        <w:tc>
          <w:tcPr>
            <w:tcW w:w="2245" w:type="dxa"/>
          </w:tcPr>
          <w:p w14:paraId="20CFD493" w14:textId="77777777" w:rsidR="00BF6314" w:rsidRDefault="003E3176">
            <w:pPr>
              <w:pStyle w:val="CellColumn"/>
            </w:pPr>
            <w:r>
              <w:rPr>
                <w:rFonts w:cs="Times New Roman"/>
              </w:rPr>
              <w:lastRenderedPageBreak/>
              <w:t>Povećan broj obrađenih i dostupnih naslova u on-line knjižničnom katalogu na internetskim stranicama</w:t>
            </w:r>
          </w:p>
        </w:tc>
        <w:tc>
          <w:tcPr>
            <w:tcW w:w="2245" w:type="dxa"/>
          </w:tcPr>
          <w:p w14:paraId="601AC685" w14:textId="77777777" w:rsidR="00BF6314" w:rsidRDefault="003E3176">
            <w:pPr>
              <w:pStyle w:val="CellColumn"/>
            </w:pPr>
            <w:r>
              <w:rPr>
                <w:rFonts w:cs="Times New Roman"/>
              </w:rPr>
              <w:t>Povećanjem broja obrađenih i dostupnih naslova u on-line knjižničnom katalogu objavljenom na internetskim stranicama DZS-a omogućit će se korisnicima pretraživanje fonda knjižnice DZS-a te povećati njegova vidljivost</w:t>
            </w:r>
          </w:p>
        </w:tc>
        <w:tc>
          <w:tcPr>
            <w:tcW w:w="918" w:type="dxa"/>
          </w:tcPr>
          <w:p w14:paraId="7E3EC237" w14:textId="77777777" w:rsidR="00BF6314" w:rsidRDefault="003E3176">
            <w:pPr>
              <w:pStyle w:val="CellColumn"/>
            </w:pPr>
            <w:r>
              <w:rPr>
                <w:rFonts w:cs="Times New Roman"/>
              </w:rPr>
              <w:t>Broj</w:t>
            </w:r>
          </w:p>
        </w:tc>
        <w:tc>
          <w:tcPr>
            <w:tcW w:w="918" w:type="dxa"/>
          </w:tcPr>
          <w:p w14:paraId="48ADB962" w14:textId="77777777" w:rsidR="00BF6314" w:rsidRDefault="003E3176">
            <w:pPr>
              <w:pStyle w:val="CellColumn"/>
            </w:pPr>
            <w:r>
              <w:rPr>
                <w:rFonts w:cs="Times New Roman"/>
              </w:rPr>
              <w:t>250</w:t>
            </w:r>
          </w:p>
        </w:tc>
        <w:tc>
          <w:tcPr>
            <w:tcW w:w="918" w:type="dxa"/>
          </w:tcPr>
          <w:p w14:paraId="4BADB2C0" w14:textId="77777777" w:rsidR="00BF6314" w:rsidRDefault="003E3176">
            <w:pPr>
              <w:pStyle w:val="CellColumn"/>
            </w:pPr>
            <w:r>
              <w:rPr>
                <w:rFonts w:cs="Times New Roman"/>
              </w:rPr>
              <w:t>DZS</w:t>
            </w:r>
          </w:p>
        </w:tc>
        <w:tc>
          <w:tcPr>
            <w:tcW w:w="918" w:type="dxa"/>
          </w:tcPr>
          <w:p w14:paraId="61AF5AE5" w14:textId="77777777" w:rsidR="00BF6314" w:rsidRDefault="003E3176">
            <w:pPr>
              <w:pStyle w:val="CellColumn"/>
            </w:pPr>
            <w:r>
              <w:rPr>
                <w:rFonts w:cs="Times New Roman"/>
              </w:rPr>
              <w:t>300</w:t>
            </w:r>
          </w:p>
        </w:tc>
        <w:tc>
          <w:tcPr>
            <w:tcW w:w="918" w:type="dxa"/>
          </w:tcPr>
          <w:p w14:paraId="1F3EF9A8" w14:textId="77777777" w:rsidR="00BF6314" w:rsidRDefault="003E3176">
            <w:pPr>
              <w:pStyle w:val="CellColumn"/>
            </w:pPr>
            <w:r>
              <w:rPr>
                <w:rFonts w:cs="Times New Roman"/>
              </w:rPr>
              <w:t>350</w:t>
            </w:r>
          </w:p>
        </w:tc>
        <w:tc>
          <w:tcPr>
            <w:tcW w:w="918" w:type="dxa"/>
          </w:tcPr>
          <w:p w14:paraId="4DFC5C2D" w14:textId="77777777" w:rsidR="00BF6314" w:rsidRDefault="003E3176">
            <w:pPr>
              <w:pStyle w:val="CellColumn"/>
            </w:pPr>
            <w:r>
              <w:rPr>
                <w:rFonts w:cs="Times New Roman"/>
              </w:rPr>
              <w:t>400</w:t>
            </w:r>
          </w:p>
        </w:tc>
      </w:tr>
      <w:tr w:rsidR="00BF6314" w14:paraId="3256B4B4" w14:textId="77777777">
        <w:trPr>
          <w:jc w:val="center"/>
        </w:trPr>
        <w:tc>
          <w:tcPr>
            <w:tcW w:w="2245" w:type="dxa"/>
          </w:tcPr>
          <w:p w14:paraId="088D7A38" w14:textId="77777777" w:rsidR="00BF6314" w:rsidRDefault="003E3176">
            <w:pPr>
              <w:pStyle w:val="CellColumn"/>
            </w:pPr>
            <w:r>
              <w:rPr>
                <w:rFonts w:cs="Times New Roman"/>
              </w:rPr>
              <w:t>Provedena Anketa o zadovoljstvu korisnika</w:t>
            </w:r>
          </w:p>
        </w:tc>
        <w:tc>
          <w:tcPr>
            <w:tcW w:w="2245" w:type="dxa"/>
          </w:tcPr>
          <w:p w14:paraId="36965930" w14:textId="77777777" w:rsidR="00BF6314" w:rsidRDefault="003E3176">
            <w:pPr>
              <w:pStyle w:val="CellColumn"/>
            </w:pPr>
            <w:r>
              <w:rPr>
                <w:rFonts w:cs="Times New Roman"/>
              </w:rPr>
              <w:t>Cilj ankete jest utvrđivanje zadovoljstva korisnika kvalitetom podataka i razinom usluge te utvrđivanje potreba korisnika.</w:t>
            </w:r>
          </w:p>
        </w:tc>
        <w:tc>
          <w:tcPr>
            <w:tcW w:w="918" w:type="dxa"/>
          </w:tcPr>
          <w:p w14:paraId="40E84BAC" w14:textId="77777777" w:rsidR="00BF6314" w:rsidRDefault="003E3176">
            <w:pPr>
              <w:pStyle w:val="CellColumn"/>
            </w:pPr>
            <w:r>
              <w:rPr>
                <w:rFonts w:cs="Times New Roman"/>
              </w:rPr>
              <w:t>Broj</w:t>
            </w:r>
          </w:p>
        </w:tc>
        <w:tc>
          <w:tcPr>
            <w:tcW w:w="918" w:type="dxa"/>
          </w:tcPr>
          <w:p w14:paraId="2AABD908" w14:textId="77777777" w:rsidR="00BF6314" w:rsidRDefault="003E3176">
            <w:pPr>
              <w:pStyle w:val="CellColumn"/>
            </w:pPr>
            <w:r>
              <w:rPr>
                <w:rFonts w:cs="Times New Roman"/>
              </w:rPr>
              <w:t>1</w:t>
            </w:r>
          </w:p>
        </w:tc>
        <w:tc>
          <w:tcPr>
            <w:tcW w:w="918" w:type="dxa"/>
          </w:tcPr>
          <w:p w14:paraId="1DB1CFB1" w14:textId="77777777" w:rsidR="00BF6314" w:rsidRDefault="003E3176">
            <w:pPr>
              <w:pStyle w:val="CellColumn"/>
            </w:pPr>
            <w:r>
              <w:rPr>
                <w:rFonts w:cs="Times New Roman"/>
              </w:rPr>
              <w:t>DZS</w:t>
            </w:r>
          </w:p>
        </w:tc>
        <w:tc>
          <w:tcPr>
            <w:tcW w:w="918" w:type="dxa"/>
          </w:tcPr>
          <w:p w14:paraId="49796D3A" w14:textId="77777777" w:rsidR="00BF6314" w:rsidRDefault="003E3176">
            <w:pPr>
              <w:pStyle w:val="CellColumn"/>
            </w:pPr>
            <w:r>
              <w:rPr>
                <w:rFonts w:cs="Times New Roman"/>
              </w:rPr>
              <w:t>1</w:t>
            </w:r>
          </w:p>
        </w:tc>
        <w:tc>
          <w:tcPr>
            <w:tcW w:w="918" w:type="dxa"/>
          </w:tcPr>
          <w:p w14:paraId="52601F30" w14:textId="77777777" w:rsidR="00BF6314" w:rsidRDefault="003E3176">
            <w:pPr>
              <w:pStyle w:val="CellColumn"/>
            </w:pPr>
            <w:r>
              <w:rPr>
                <w:rFonts w:cs="Times New Roman"/>
              </w:rPr>
              <w:t>1</w:t>
            </w:r>
          </w:p>
        </w:tc>
        <w:tc>
          <w:tcPr>
            <w:tcW w:w="918" w:type="dxa"/>
          </w:tcPr>
          <w:p w14:paraId="4C995B77" w14:textId="77777777" w:rsidR="00BF6314" w:rsidRDefault="003E3176">
            <w:pPr>
              <w:pStyle w:val="CellColumn"/>
            </w:pPr>
            <w:r>
              <w:rPr>
                <w:rFonts w:cs="Times New Roman"/>
              </w:rPr>
              <w:t>1</w:t>
            </w:r>
          </w:p>
        </w:tc>
      </w:tr>
    </w:tbl>
    <w:p w14:paraId="435F3A60" w14:textId="77777777" w:rsidR="00BF6314" w:rsidRDefault="00BF6314">
      <w:pPr>
        <w:jc w:val="left"/>
      </w:pPr>
    </w:p>
    <w:p w14:paraId="374F5EAD" w14:textId="77777777" w:rsidR="00BF6314" w:rsidRDefault="003E3176">
      <w:pPr>
        <w:pStyle w:val="Heading4"/>
      </w:pPr>
      <w:r>
        <w:t>A658107 ANKETA O RADNOJ SNAZI</w:t>
      </w:r>
    </w:p>
    <w:p w14:paraId="7AEFD89A" w14:textId="77777777" w:rsidR="00BF6314" w:rsidRDefault="003E3176">
      <w:pPr>
        <w:pStyle w:val="Heading8"/>
        <w:jc w:val="left"/>
      </w:pPr>
      <w:r>
        <w:t>Zakonske i druge pravne osnove</w:t>
      </w:r>
    </w:p>
    <w:p w14:paraId="5E559044" w14:textId="77777777" w:rsidR="00BF6314" w:rsidRDefault="003E3176">
      <w:pPr>
        <w:pStyle w:val="Normal5"/>
      </w:pPr>
      <w:r>
        <w:t xml:space="preserve">Zakon o službenoj statistici     </w:t>
      </w:r>
    </w:p>
    <w:p w14:paraId="138C7884" w14:textId="77777777" w:rsidR="00BF6314" w:rsidRDefault="003E3176">
      <w:pPr>
        <w:pStyle w:val="Normal5"/>
      </w:pPr>
      <w:r>
        <w:t xml:space="preserve">Godišnji provedbeni plan statističkih aktivnosti Republike Hrvatske      </w:t>
      </w:r>
    </w:p>
    <w:p w14:paraId="0EF82471" w14:textId="77777777" w:rsidR="00BF6314" w:rsidRDefault="003E3176">
      <w:pPr>
        <w:pStyle w:val="Normal5"/>
      </w:pPr>
      <w:r>
        <w:t xml:space="preserve">Uredba (EU) 2019/1700 Europskog parlamenta i Vijeća od 10. listopada 2019. o uspostavi zajedničkog okvira za europske statistike o osobama i kućanstvima koje se temelje na podacima o pojedincima prikupljenima na uzorcima, izmjeni uredaba (EZ) br. 808/2004, (EZ) br. 452/2008 i (EZ) br. 1338/2008 Europskog parlamenta i Vijeća, te stavljanju izvan snage Uredbe (EZ) br. 1177/2003 Europskog parlamenta i Vijeća i Uredbe Vijeća (EZ) br. 577/98 (LI 261/1)    </w:t>
      </w:r>
    </w:p>
    <w:p w14:paraId="609AB746" w14:textId="77777777" w:rsidR="00BF6314" w:rsidRDefault="003E3176">
      <w:pPr>
        <w:pStyle w:val="Normal5"/>
      </w:pPr>
      <w:r>
        <w:t xml:space="preserve">Provedbena uredba Komisije (EU) 2019/2240 оd 16. prosinca 2019. o utvrđivanju tehničkih stavki skupa podataka, tehničkih formata za dostavu informacija te detaljnih postupaka i sadržaja izvješćâ o kvaliteti za organizaciju ankete na uzorku u području radne snage u skladu s Uredbom (EU) 2019/1700 Europskog parlamenta i Vijeća (L 336/59)    </w:t>
      </w:r>
    </w:p>
    <w:p w14:paraId="2A75E96C" w14:textId="77777777" w:rsidR="00BF6314" w:rsidRDefault="003E3176">
      <w:pPr>
        <w:pStyle w:val="Normal5"/>
      </w:pPr>
      <w:r>
        <w:t xml:space="preserve">Delegirana uredba Komisije (EU) 2020/256 оd 16. prosinca 2019. o dopuni Uredbe (EU) 2019/1700 Europskog parlamenta i Vijeća uspostavom višegodišnjeg ponavljajućeg planiranja (L54/1)    </w:t>
      </w:r>
    </w:p>
    <w:p w14:paraId="0888AAC8" w14:textId="77777777" w:rsidR="00BF6314" w:rsidRDefault="003E3176">
      <w:pPr>
        <w:pStyle w:val="Normal5"/>
      </w:pPr>
      <w:r>
        <w:t xml:space="preserve">Delegirana uredba Komisije (EU) 2020/257 оd 16. prosinca 2019. o dopuni Uredbe (EU) 2019/1700 Europskog parlamenta i Vijeća utvrđivanjem broja i naziva varijabli za područje radne snage (L 54/9)    </w:t>
      </w:r>
    </w:p>
    <w:p w14:paraId="7E0C6643" w14:textId="77777777" w:rsidR="00BF6314" w:rsidRDefault="003E3176">
      <w:pPr>
        <w:pStyle w:val="Normal5"/>
      </w:pPr>
      <w:r>
        <w:t xml:space="preserve">Provedbena uredba Komisije (EU) 2019/2180 оd 16. prosinca 2019. o utvrđivanju detaljnih postupaka i sadržaja izvješćâ o kvaliteti u skladu s Uredbom (EU) 2019/1700 Europskog parlamenta i Vijeća (L 330/8)    </w:t>
      </w:r>
    </w:p>
    <w:p w14:paraId="3CBC0D9A" w14:textId="77777777" w:rsidR="00BF6314" w:rsidRDefault="003E3176">
      <w:pPr>
        <w:pStyle w:val="Normal5"/>
      </w:pPr>
      <w:r>
        <w:t xml:space="preserve">Provedbena uredba Komisije (EU) 2019/2181 оd 16. prosinca 2019. o utvrđivanju tehničkih značajki za stavke koje su zajedničke za više skupova podataka u skladu s Uredbom (EU) 2019/1700 Europskog parlamenta i Vijeća (L330/16)    </w:t>
      </w:r>
    </w:p>
    <w:p w14:paraId="1562B121" w14:textId="77777777" w:rsidR="00BF6314" w:rsidRDefault="003E3176">
      <w:pPr>
        <w:pStyle w:val="Normal5"/>
      </w:pPr>
      <w:r>
        <w:t>Provedbena uredba Komisije (EU) 2019/2241 оd 16. prosinca 2019.o opisu varijabli i duljine, zahtjeva kvalitete i razine detalja vremenskih nizova za dostavu mjesečnih podataka o nezaposlenosti u skladu s Uredbom (EU) 2019/1700 Europskog parlamenta i Vijeća (L336/125)</w:t>
      </w:r>
    </w:p>
    <w:tbl>
      <w:tblPr>
        <w:tblStyle w:val="StilTablice"/>
        <w:tblW w:w="10206" w:type="dxa"/>
        <w:jc w:val="center"/>
        <w:tblLook w:val="04A0" w:firstRow="1" w:lastRow="0" w:firstColumn="1" w:lastColumn="0" w:noHBand="0" w:noVBand="1"/>
      </w:tblPr>
      <w:tblGrid>
        <w:gridCol w:w="1473"/>
        <w:gridCol w:w="1559"/>
        <w:gridCol w:w="1551"/>
        <w:gridCol w:w="1551"/>
        <w:gridCol w:w="1551"/>
        <w:gridCol w:w="1551"/>
        <w:gridCol w:w="970"/>
      </w:tblGrid>
      <w:tr w:rsidR="00BF6314" w14:paraId="0456DB08" w14:textId="77777777">
        <w:trPr>
          <w:jc w:val="center"/>
        </w:trPr>
        <w:tc>
          <w:tcPr>
            <w:tcW w:w="1530" w:type="dxa"/>
            <w:shd w:val="clear" w:color="auto" w:fill="B5C0D8"/>
          </w:tcPr>
          <w:p w14:paraId="0631ECD9" w14:textId="77777777" w:rsidR="00BF6314" w:rsidRDefault="003E3176">
            <w:pPr>
              <w:pStyle w:val="CellHeader"/>
            </w:pPr>
            <w:r>
              <w:rPr>
                <w:rFonts w:cs="Times New Roman"/>
              </w:rPr>
              <w:t>Naziv aktivnosti</w:t>
            </w:r>
          </w:p>
        </w:tc>
        <w:tc>
          <w:tcPr>
            <w:tcW w:w="1632" w:type="dxa"/>
            <w:shd w:val="clear" w:color="auto" w:fill="B5C0D8"/>
          </w:tcPr>
          <w:p w14:paraId="4457FA9A" w14:textId="77777777" w:rsidR="00BF6314" w:rsidRDefault="003E3176">
            <w:pPr>
              <w:pStyle w:val="CellHeader"/>
            </w:pPr>
            <w:r>
              <w:rPr>
                <w:rFonts w:cs="Times New Roman"/>
              </w:rPr>
              <w:t>Izvršenje 2023. (eur)</w:t>
            </w:r>
          </w:p>
        </w:tc>
        <w:tc>
          <w:tcPr>
            <w:tcW w:w="1632" w:type="dxa"/>
            <w:shd w:val="clear" w:color="auto" w:fill="B5C0D8"/>
          </w:tcPr>
          <w:p w14:paraId="7E35C181" w14:textId="77777777" w:rsidR="00BF6314" w:rsidRDefault="003E3176">
            <w:pPr>
              <w:pStyle w:val="CellHeader"/>
            </w:pPr>
            <w:r>
              <w:rPr>
                <w:rFonts w:cs="Times New Roman"/>
              </w:rPr>
              <w:t>Plan 2024. (eur)</w:t>
            </w:r>
          </w:p>
        </w:tc>
        <w:tc>
          <w:tcPr>
            <w:tcW w:w="1632" w:type="dxa"/>
            <w:shd w:val="clear" w:color="auto" w:fill="B5C0D8"/>
          </w:tcPr>
          <w:p w14:paraId="6F4D70B7" w14:textId="77777777" w:rsidR="00BF6314" w:rsidRDefault="003E3176">
            <w:pPr>
              <w:pStyle w:val="CellHeader"/>
            </w:pPr>
            <w:r>
              <w:rPr>
                <w:rFonts w:cs="Times New Roman"/>
              </w:rPr>
              <w:t>Plan 2025. (eur)</w:t>
            </w:r>
          </w:p>
        </w:tc>
        <w:tc>
          <w:tcPr>
            <w:tcW w:w="1632" w:type="dxa"/>
            <w:shd w:val="clear" w:color="auto" w:fill="B5C0D8"/>
          </w:tcPr>
          <w:p w14:paraId="08EA0A41" w14:textId="77777777" w:rsidR="00BF6314" w:rsidRDefault="003E3176">
            <w:pPr>
              <w:pStyle w:val="CellHeader"/>
            </w:pPr>
            <w:r>
              <w:rPr>
                <w:rFonts w:cs="Times New Roman"/>
              </w:rPr>
              <w:t>Plan 2026. (eur)</w:t>
            </w:r>
          </w:p>
        </w:tc>
        <w:tc>
          <w:tcPr>
            <w:tcW w:w="1632" w:type="dxa"/>
            <w:shd w:val="clear" w:color="auto" w:fill="B5C0D8"/>
          </w:tcPr>
          <w:p w14:paraId="15981723" w14:textId="77777777" w:rsidR="00BF6314" w:rsidRDefault="003E3176">
            <w:pPr>
              <w:pStyle w:val="CellHeader"/>
            </w:pPr>
            <w:r>
              <w:rPr>
                <w:rFonts w:cs="Times New Roman"/>
              </w:rPr>
              <w:t>Plan 2027. (eur)</w:t>
            </w:r>
          </w:p>
        </w:tc>
        <w:tc>
          <w:tcPr>
            <w:tcW w:w="510" w:type="dxa"/>
            <w:shd w:val="clear" w:color="auto" w:fill="B5C0D8"/>
          </w:tcPr>
          <w:p w14:paraId="06BC640C" w14:textId="77777777" w:rsidR="00BF6314" w:rsidRDefault="003E3176">
            <w:pPr>
              <w:pStyle w:val="CellHeader"/>
            </w:pPr>
            <w:r>
              <w:rPr>
                <w:rFonts w:cs="Times New Roman"/>
              </w:rPr>
              <w:t>Indeks 2025/2024</w:t>
            </w:r>
          </w:p>
        </w:tc>
      </w:tr>
      <w:tr w:rsidR="00BF6314" w14:paraId="1D9EBA9B" w14:textId="77777777">
        <w:trPr>
          <w:jc w:val="center"/>
        </w:trPr>
        <w:tc>
          <w:tcPr>
            <w:tcW w:w="1530" w:type="dxa"/>
          </w:tcPr>
          <w:p w14:paraId="131D7E00" w14:textId="77777777" w:rsidR="00BF6314" w:rsidRDefault="003E3176">
            <w:pPr>
              <w:pStyle w:val="CellColumn"/>
            </w:pPr>
            <w:r>
              <w:rPr>
                <w:rFonts w:cs="Times New Roman"/>
              </w:rPr>
              <w:lastRenderedPageBreak/>
              <w:t>A658107-ANKETA O RADNOJ SNAZI</w:t>
            </w:r>
          </w:p>
        </w:tc>
        <w:tc>
          <w:tcPr>
            <w:tcW w:w="1632" w:type="dxa"/>
          </w:tcPr>
          <w:p w14:paraId="6D779366" w14:textId="77777777" w:rsidR="00BF6314" w:rsidRDefault="003E3176">
            <w:pPr>
              <w:pStyle w:val="CellColumn"/>
            </w:pPr>
            <w:r>
              <w:rPr>
                <w:rFonts w:cs="Times New Roman"/>
              </w:rPr>
              <w:t>382.392</w:t>
            </w:r>
          </w:p>
        </w:tc>
        <w:tc>
          <w:tcPr>
            <w:tcW w:w="1632" w:type="dxa"/>
          </w:tcPr>
          <w:p w14:paraId="1F5EA23F" w14:textId="77777777" w:rsidR="00BF6314" w:rsidRDefault="003E3176">
            <w:pPr>
              <w:pStyle w:val="CellColumn"/>
            </w:pPr>
            <w:r>
              <w:rPr>
                <w:rFonts w:cs="Times New Roman"/>
              </w:rPr>
              <w:t>396.515</w:t>
            </w:r>
          </w:p>
        </w:tc>
        <w:tc>
          <w:tcPr>
            <w:tcW w:w="1632" w:type="dxa"/>
          </w:tcPr>
          <w:p w14:paraId="0C831DD6" w14:textId="77777777" w:rsidR="00BF6314" w:rsidRDefault="003E3176">
            <w:pPr>
              <w:pStyle w:val="CellColumn"/>
            </w:pPr>
            <w:r>
              <w:rPr>
                <w:rFonts w:cs="Times New Roman"/>
              </w:rPr>
              <w:t>453.861</w:t>
            </w:r>
          </w:p>
        </w:tc>
        <w:tc>
          <w:tcPr>
            <w:tcW w:w="1632" w:type="dxa"/>
          </w:tcPr>
          <w:p w14:paraId="1D1C5125" w14:textId="77777777" w:rsidR="00BF6314" w:rsidRDefault="003E3176">
            <w:pPr>
              <w:pStyle w:val="CellColumn"/>
            </w:pPr>
            <w:r>
              <w:rPr>
                <w:rFonts w:cs="Times New Roman"/>
              </w:rPr>
              <w:t>453.861</w:t>
            </w:r>
          </w:p>
        </w:tc>
        <w:tc>
          <w:tcPr>
            <w:tcW w:w="1632" w:type="dxa"/>
          </w:tcPr>
          <w:p w14:paraId="6261A6F8" w14:textId="77777777" w:rsidR="00BF6314" w:rsidRDefault="003E3176">
            <w:pPr>
              <w:pStyle w:val="CellColumn"/>
            </w:pPr>
            <w:r>
              <w:rPr>
                <w:rFonts w:cs="Times New Roman"/>
              </w:rPr>
              <w:t>453.861</w:t>
            </w:r>
          </w:p>
        </w:tc>
        <w:tc>
          <w:tcPr>
            <w:tcW w:w="510" w:type="dxa"/>
          </w:tcPr>
          <w:p w14:paraId="574F7094" w14:textId="77777777" w:rsidR="00BF6314" w:rsidRDefault="003E3176">
            <w:pPr>
              <w:pStyle w:val="CellColumn"/>
            </w:pPr>
            <w:r>
              <w:rPr>
                <w:rFonts w:cs="Times New Roman"/>
              </w:rPr>
              <w:t>114,5</w:t>
            </w:r>
          </w:p>
        </w:tc>
      </w:tr>
    </w:tbl>
    <w:p w14:paraId="6D6981CE" w14:textId="77777777" w:rsidR="00BF6314" w:rsidRDefault="00BF6314">
      <w:pPr>
        <w:jc w:val="left"/>
      </w:pPr>
    </w:p>
    <w:p w14:paraId="03A5B034" w14:textId="77777777" w:rsidR="00BF6314" w:rsidRDefault="003E3176">
      <w:r>
        <w:t xml:space="preserve">Anketa o radnoj snazi (ARS) je najopsežnije istraživanje o obilježjima tržišta rada koje se provodi na uzorku privatnih kućanstava u Republici Hrvatskoj. Glavni cilj Ankete o radnoj snazi je dati prikaz veličine, strukture i obilježja zaposlenih i nezaposlenih osoba koje čine radnu snagu i osoba izvan radne snage koje ne sudjeluju na tržištu rada.    </w:t>
      </w:r>
    </w:p>
    <w:p w14:paraId="066571D1" w14:textId="77777777" w:rsidR="00BF6314" w:rsidRDefault="003E3176">
      <w:r>
        <w:t xml:space="preserve">Istraživanjem se prikupljaju podaci o demografskim i migracijskim obilježjima, pohađanom i završenom stupnju obrazovanja, ekonomskoj aktivnosti, djelatnosti i zanimanju na glavnom, dodatnom i prethodnom poslu, satima rada na glavnom i dodatnom poslu, traženju posla, raspoloživosti za posao i sl. Navedeni podaci su osnovni izvor za izračun pokazatelja anketne stope nezaposlenosti, stope zaposlenosti i stope aktivnosti.    </w:t>
      </w:r>
    </w:p>
    <w:p w14:paraId="7CCC17DE" w14:textId="77777777" w:rsidR="00BF6314" w:rsidRDefault="003E3176">
      <w:r>
        <w:t xml:space="preserve">Anketa se u postupcima izbora uzorka, pri definiranju anketnog upitnika te primjeni metodoloških smjernica oslanja na preporuke Međunarodne organizacije rada te Eurostat-a čime se jamči međunarodna usporedivost podataka među zemljama. Istraživanje je obavezno za sve zemlje članice Europske unije.   </w:t>
      </w:r>
    </w:p>
    <w:p w14:paraId="3CBCA1A6" w14:textId="77777777" w:rsidR="00BF6314" w:rsidRDefault="003E3176">
      <w:r>
        <w:t xml:space="preserve">Istraživanje se provodi putem CAPI (anketiranje s pomoću prijenosnih računala ''licem u lice'') i CATI ( anketiranje telefonom) metode prikupljanja podataka.    </w:t>
      </w:r>
    </w:p>
    <w:p w14:paraId="2B923CD7" w14:textId="77777777" w:rsidR="00BF6314" w:rsidRDefault="003E3176">
      <w:r>
        <w:t xml:space="preserve">Osnova za izračun potrebnih sredstava za provođenje Ankete o radnoj snazi za razdoblje od 2025. do 2027. je veličina CAPI uzorka odnosno broj kućanstva koja se anketiraju s pomoću prijenosnih računala od strane vanjskih anketara te pretpostavljena stopa odgovora. CATI anketiranje obavljaju zaposlenici Zavoda zbog čega CATI uzorak ne čini dio osnove za izračun potrebnih sredstava kao ni »nevaljane jedinice« koje se ponovljeno ne anketiraju. Planirani rashodi odnose se na intelektualne i osobne usluge (naknade vanjskim suradnicima- anketarima).   </w:t>
      </w:r>
    </w:p>
    <w:p w14:paraId="2434CE49" w14:textId="77777777" w:rsidR="00BF6314" w:rsidRDefault="003E3176">
      <w:r>
        <w:t>U 2025., 2026. i 2027. ukupna veličina uzorka iznosi 34.320 adresa godišnje. Iznos planiranih sredstava postavljen je prema procijenjenoj veličini CAPI uzorka od 24.710 adresa, od čega će za oko 95% anketa biti angažirani vanjski anketari, a za 5% zaposlenici Zavoda. Uzimajući u obzir stopu odgovora od oko 70% i neodgovora od oko 30%, procijenjeni trošak CAPI anketiranja za vanjske anketare godišnje iznosi 439.830 EUR (uz jediničnu cijenu od 23,42 EUR za pozitivnu i 3,45 EUR za negativnu anketu). Uključivanjem troška za sudjelovanje anketara na edukaciji u ukupnom iznosu od 4.031 EUR, ukupni rashodi za razdoblje od 2025. – 2027. po godini iznose 453.861 EUR.</w:t>
      </w:r>
    </w:p>
    <w:p w14:paraId="18DA999E" w14:textId="77777777" w:rsidR="00BF6314" w:rsidRDefault="003E3176">
      <w:pPr>
        <w:pStyle w:val="Heading8"/>
        <w:jc w:val="left"/>
      </w:pPr>
      <w:r>
        <w:t>Pokazatelji rezultata</w:t>
      </w:r>
    </w:p>
    <w:tbl>
      <w:tblPr>
        <w:tblStyle w:val="StilTablice"/>
        <w:tblW w:w="10206" w:type="dxa"/>
        <w:jc w:val="center"/>
        <w:tblLook w:val="04A0" w:firstRow="1" w:lastRow="0" w:firstColumn="1" w:lastColumn="0" w:noHBand="0" w:noVBand="1"/>
      </w:tblPr>
      <w:tblGrid>
        <w:gridCol w:w="1805"/>
        <w:gridCol w:w="1832"/>
        <w:gridCol w:w="1742"/>
        <w:gridCol w:w="917"/>
        <w:gridCol w:w="1159"/>
        <w:gridCol w:w="917"/>
        <w:gridCol w:w="917"/>
        <w:gridCol w:w="917"/>
      </w:tblGrid>
      <w:tr w:rsidR="00BF6314" w14:paraId="41339BDD" w14:textId="77777777">
        <w:trPr>
          <w:jc w:val="center"/>
        </w:trPr>
        <w:tc>
          <w:tcPr>
            <w:tcW w:w="2245" w:type="dxa"/>
            <w:shd w:val="clear" w:color="auto" w:fill="B5C0D8"/>
          </w:tcPr>
          <w:p w14:paraId="154406BC" w14:textId="77777777" w:rsidR="00BF6314" w:rsidRDefault="003E3176">
            <w:r>
              <w:t>Pokazatelj rezultata</w:t>
            </w:r>
          </w:p>
        </w:tc>
        <w:tc>
          <w:tcPr>
            <w:tcW w:w="2245" w:type="dxa"/>
            <w:shd w:val="clear" w:color="auto" w:fill="B5C0D8"/>
          </w:tcPr>
          <w:p w14:paraId="6DC326F2" w14:textId="77777777" w:rsidR="00BF6314" w:rsidRDefault="003E3176">
            <w:pPr>
              <w:pStyle w:val="CellHeader"/>
            </w:pPr>
            <w:r>
              <w:rPr>
                <w:rFonts w:cs="Times New Roman"/>
              </w:rPr>
              <w:t>Definicija</w:t>
            </w:r>
          </w:p>
        </w:tc>
        <w:tc>
          <w:tcPr>
            <w:tcW w:w="2245" w:type="dxa"/>
            <w:shd w:val="clear" w:color="auto" w:fill="B5C0D8"/>
          </w:tcPr>
          <w:p w14:paraId="72BA0B25" w14:textId="77777777" w:rsidR="00BF6314" w:rsidRDefault="003E3176">
            <w:pPr>
              <w:pStyle w:val="CellHeader"/>
            </w:pPr>
            <w:r>
              <w:rPr>
                <w:rFonts w:cs="Times New Roman"/>
              </w:rPr>
              <w:t>Jedinica</w:t>
            </w:r>
          </w:p>
        </w:tc>
        <w:tc>
          <w:tcPr>
            <w:tcW w:w="918" w:type="dxa"/>
            <w:shd w:val="clear" w:color="auto" w:fill="B5C0D8"/>
          </w:tcPr>
          <w:p w14:paraId="664A86BF" w14:textId="77777777" w:rsidR="00BF6314" w:rsidRDefault="003E3176">
            <w:pPr>
              <w:pStyle w:val="CellHeader"/>
            </w:pPr>
            <w:r>
              <w:rPr>
                <w:rFonts w:cs="Times New Roman"/>
              </w:rPr>
              <w:t>Polazna vrijednost</w:t>
            </w:r>
          </w:p>
        </w:tc>
        <w:tc>
          <w:tcPr>
            <w:tcW w:w="918" w:type="dxa"/>
            <w:shd w:val="clear" w:color="auto" w:fill="B5C0D8"/>
          </w:tcPr>
          <w:p w14:paraId="5420346A" w14:textId="77777777" w:rsidR="00BF6314" w:rsidRDefault="003E3176">
            <w:pPr>
              <w:pStyle w:val="CellHeader"/>
            </w:pPr>
            <w:r>
              <w:rPr>
                <w:rFonts w:cs="Times New Roman"/>
              </w:rPr>
              <w:t>Izvor podataka</w:t>
            </w:r>
          </w:p>
        </w:tc>
        <w:tc>
          <w:tcPr>
            <w:tcW w:w="918" w:type="dxa"/>
            <w:shd w:val="clear" w:color="auto" w:fill="B5C0D8"/>
          </w:tcPr>
          <w:p w14:paraId="728796FA" w14:textId="77777777" w:rsidR="00BF6314" w:rsidRDefault="003E3176">
            <w:pPr>
              <w:pStyle w:val="CellHeader"/>
            </w:pPr>
            <w:r>
              <w:rPr>
                <w:rFonts w:cs="Times New Roman"/>
              </w:rPr>
              <w:t>Ciljana vrijednost (2025.)</w:t>
            </w:r>
          </w:p>
        </w:tc>
        <w:tc>
          <w:tcPr>
            <w:tcW w:w="918" w:type="dxa"/>
            <w:shd w:val="clear" w:color="auto" w:fill="B5C0D8"/>
          </w:tcPr>
          <w:p w14:paraId="56B7F82B" w14:textId="77777777" w:rsidR="00BF6314" w:rsidRDefault="003E3176">
            <w:pPr>
              <w:pStyle w:val="CellHeader"/>
            </w:pPr>
            <w:r>
              <w:rPr>
                <w:rFonts w:cs="Times New Roman"/>
              </w:rPr>
              <w:t>Ciljana vrijednost (2026.)</w:t>
            </w:r>
          </w:p>
        </w:tc>
        <w:tc>
          <w:tcPr>
            <w:tcW w:w="918" w:type="dxa"/>
            <w:shd w:val="clear" w:color="auto" w:fill="B5C0D8"/>
          </w:tcPr>
          <w:p w14:paraId="6AB8737E" w14:textId="77777777" w:rsidR="00BF6314" w:rsidRDefault="003E3176">
            <w:pPr>
              <w:pStyle w:val="CellHeader"/>
            </w:pPr>
            <w:r>
              <w:rPr>
                <w:rFonts w:cs="Times New Roman"/>
              </w:rPr>
              <w:t>Ciljana vrijednost (2027.)</w:t>
            </w:r>
          </w:p>
        </w:tc>
      </w:tr>
      <w:tr w:rsidR="00BF6314" w14:paraId="4BD2FFDC" w14:textId="77777777">
        <w:trPr>
          <w:jc w:val="center"/>
        </w:trPr>
        <w:tc>
          <w:tcPr>
            <w:tcW w:w="2245" w:type="dxa"/>
          </w:tcPr>
          <w:p w14:paraId="73EF471F" w14:textId="77777777" w:rsidR="00BF6314" w:rsidRDefault="003E3176">
            <w:pPr>
              <w:pStyle w:val="CellColumn"/>
            </w:pPr>
            <w:r>
              <w:rPr>
                <w:rFonts w:cs="Times New Roman"/>
              </w:rPr>
              <w:t>Provedena anketa o radnoj snazi</w:t>
            </w:r>
          </w:p>
        </w:tc>
        <w:tc>
          <w:tcPr>
            <w:tcW w:w="2245" w:type="dxa"/>
          </w:tcPr>
          <w:p w14:paraId="3D88684C" w14:textId="77777777" w:rsidR="00BF6314" w:rsidRDefault="003E3176">
            <w:pPr>
              <w:pStyle w:val="CellColumn"/>
            </w:pPr>
            <w:r>
              <w:rPr>
                <w:rFonts w:cs="Times New Roman"/>
              </w:rPr>
              <w:t>Provedbom ankete o radnoj snazi dobiva se uvid u ponašanje pojedinih skupina na tržištu rada</w:t>
            </w:r>
          </w:p>
        </w:tc>
        <w:tc>
          <w:tcPr>
            <w:tcW w:w="918" w:type="dxa"/>
          </w:tcPr>
          <w:p w14:paraId="35160526" w14:textId="77777777" w:rsidR="00BF6314" w:rsidRDefault="003E3176">
            <w:pPr>
              <w:pStyle w:val="CellColumn"/>
            </w:pPr>
            <w:r>
              <w:rPr>
                <w:rFonts w:cs="Times New Roman"/>
              </w:rPr>
              <w:t>Broj</w:t>
            </w:r>
          </w:p>
        </w:tc>
        <w:tc>
          <w:tcPr>
            <w:tcW w:w="918" w:type="dxa"/>
          </w:tcPr>
          <w:p w14:paraId="28D05EF8" w14:textId="77777777" w:rsidR="00BF6314" w:rsidRDefault="003E3176">
            <w:pPr>
              <w:pStyle w:val="CellColumn"/>
            </w:pPr>
            <w:r>
              <w:rPr>
                <w:rFonts w:cs="Times New Roman"/>
              </w:rPr>
              <w:t>1</w:t>
            </w:r>
          </w:p>
        </w:tc>
        <w:tc>
          <w:tcPr>
            <w:tcW w:w="918" w:type="dxa"/>
          </w:tcPr>
          <w:p w14:paraId="5CD8139A" w14:textId="77777777" w:rsidR="00BF6314" w:rsidRDefault="003E3176">
            <w:pPr>
              <w:pStyle w:val="CellColumn"/>
            </w:pPr>
            <w:r>
              <w:rPr>
                <w:rFonts w:cs="Times New Roman"/>
              </w:rPr>
              <w:t>Izvješće o izvršenju Godišnjega provedbenog plana statističkih aktivnosti Republike Hrvatske</w:t>
            </w:r>
          </w:p>
        </w:tc>
        <w:tc>
          <w:tcPr>
            <w:tcW w:w="918" w:type="dxa"/>
          </w:tcPr>
          <w:p w14:paraId="6874EE08" w14:textId="77777777" w:rsidR="00BF6314" w:rsidRDefault="003E3176">
            <w:pPr>
              <w:pStyle w:val="CellColumn"/>
            </w:pPr>
            <w:r>
              <w:rPr>
                <w:rFonts w:cs="Times New Roman"/>
              </w:rPr>
              <w:t>1</w:t>
            </w:r>
          </w:p>
        </w:tc>
        <w:tc>
          <w:tcPr>
            <w:tcW w:w="918" w:type="dxa"/>
          </w:tcPr>
          <w:p w14:paraId="68DCA91B" w14:textId="77777777" w:rsidR="00BF6314" w:rsidRDefault="003E3176">
            <w:pPr>
              <w:pStyle w:val="CellColumn"/>
            </w:pPr>
            <w:r>
              <w:rPr>
                <w:rFonts w:cs="Times New Roman"/>
              </w:rPr>
              <w:t>1</w:t>
            </w:r>
          </w:p>
        </w:tc>
        <w:tc>
          <w:tcPr>
            <w:tcW w:w="918" w:type="dxa"/>
          </w:tcPr>
          <w:p w14:paraId="745068D7" w14:textId="77777777" w:rsidR="00BF6314" w:rsidRDefault="003E3176">
            <w:pPr>
              <w:pStyle w:val="CellColumn"/>
            </w:pPr>
            <w:r>
              <w:rPr>
                <w:rFonts w:cs="Times New Roman"/>
              </w:rPr>
              <w:t>1</w:t>
            </w:r>
          </w:p>
        </w:tc>
      </w:tr>
    </w:tbl>
    <w:p w14:paraId="78AE6938" w14:textId="77777777" w:rsidR="00BF6314" w:rsidRDefault="00BF6314">
      <w:pPr>
        <w:jc w:val="left"/>
      </w:pPr>
    </w:p>
    <w:p w14:paraId="5607826D" w14:textId="77777777" w:rsidR="00BF6314" w:rsidRDefault="003E3176">
      <w:pPr>
        <w:pStyle w:val="Heading4"/>
      </w:pPr>
      <w:r>
        <w:t>A658109 ANKETA O POTROŠNJI KUĆANSTAVA</w:t>
      </w:r>
    </w:p>
    <w:p w14:paraId="79237DD0" w14:textId="77777777" w:rsidR="00BF6314" w:rsidRDefault="003E3176">
      <w:pPr>
        <w:pStyle w:val="Heading8"/>
        <w:jc w:val="left"/>
      </w:pPr>
      <w:r>
        <w:t>Zakonske i druge pravne osnove</w:t>
      </w:r>
    </w:p>
    <w:p w14:paraId="619E9C2E" w14:textId="77777777" w:rsidR="00BF6314" w:rsidRDefault="003E3176">
      <w:pPr>
        <w:pStyle w:val="Normal5"/>
      </w:pPr>
      <w:r>
        <w:t xml:space="preserve">Zakon o službenoj statistici    </w:t>
      </w:r>
    </w:p>
    <w:p w14:paraId="1CDA8839" w14:textId="77777777" w:rsidR="00BF6314" w:rsidRDefault="003E3176">
      <w:pPr>
        <w:pStyle w:val="Normal5"/>
      </w:pPr>
      <w:r>
        <w:t xml:space="preserve">Godišnji provedbeni plan statističkih aktivnosti Republike Hrvatske  </w:t>
      </w:r>
    </w:p>
    <w:p w14:paraId="06A8C1AF" w14:textId="77777777" w:rsidR="00BF6314" w:rsidRDefault="003E3176">
      <w:pPr>
        <w:pStyle w:val="Normal5"/>
      </w:pPr>
      <w:r>
        <w:t xml:space="preserve">UREDBA (EU) 2019/1700 Europskog parlamenta i Vijeća od 10. listopada 2019. o uspostavi zajedničkog okvira za europske statistike o osobama i kućanstvima koje se temelje na podacima o pojedincima prikupljenima na uzorcima, izmjeni uredaba (EZ) br. 808/2004, (EZ) br. 452/2008 i (EZ) br. 1338/2008 </w:t>
      </w:r>
      <w:r>
        <w:lastRenderedPageBreak/>
        <w:t xml:space="preserve">Europskog parlamenta i Vijeća, te stavljanju izvan snage Uredbe (EZ) br. 1177/2003 Europskog parlamenta i Vijeća i Uredbe Vijeća (EZ) br. 577/98  </w:t>
      </w:r>
    </w:p>
    <w:p w14:paraId="131B1B49" w14:textId="77777777" w:rsidR="00BF6314" w:rsidRDefault="003E3176">
      <w:pPr>
        <w:pStyle w:val="Normal5"/>
      </w:pPr>
      <w:r>
        <w:t xml:space="preserve">DELEGIRANA UREDBA KOMISIJE (EU) 2020/256 od 16. prosinca 2019 o dopuni Uredbe (EU) 2019/1700 Europskog parlamenta i Vijeća uspostavom višegodišnjeg ponavljajućeg planiranja  </w:t>
      </w:r>
    </w:p>
    <w:p w14:paraId="11F288A7" w14:textId="77777777" w:rsidR="00BF6314" w:rsidRDefault="003E3176">
      <w:pPr>
        <w:pStyle w:val="Normal5"/>
      </w:pPr>
      <w:r>
        <w:t xml:space="preserve">DELEGIRANA UREDBA KOMISIJE (EU) 2023/126 оd 21. listopada 2022. o dopuni Uredbe (EU) 2019/1700 Europskog parlamenta i Vijeća utvrđivanjem broja i naziva varijabli za područje potrošnje      </w:t>
      </w:r>
    </w:p>
    <w:p w14:paraId="20712CF0" w14:textId="77777777" w:rsidR="00BF6314" w:rsidRDefault="003E3176">
      <w:pPr>
        <w:pStyle w:val="Normal5"/>
      </w:pPr>
      <w:r>
        <w:t xml:space="preserve">PROVEDBENA UREDBA KOMISIJE (EU) 2019/2180 оd 16. prosinca 2019. o utvrđivanju detaljnih postupaka i sadržaja izvješćâ o kvaliteti u skladu s Uredbom (EU) 2019/1700 Europskog parlamenta i Vijeća     </w:t>
      </w:r>
    </w:p>
    <w:p w14:paraId="30D5A47E" w14:textId="77777777" w:rsidR="00BF6314" w:rsidRDefault="003E3176">
      <w:pPr>
        <w:pStyle w:val="Normal5"/>
      </w:pPr>
      <w:r>
        <w:t xml:space="preserve">PROVEDBENA UREDBA KOMISIJE (EU) 2019/2181 оd 16. prosinca 2019. o utvrđivanju tehničkih značajki za stavke koje su zajedničke za više skupova podataka u skladu s Uredbom (EU) 2019/1700 Europskog parlamenta i Vijeća    </w:t>
      </w:r>
    </w:p>
    <w:p w14:paraId="0F143D2F" w14:textId="77777777" w:rsidR="00BF6314" w:rsidRDefault="003E3176">
      <w:pPr>
        <w:pStyle w:val="Normal5"/>
      </w:pPr>
      <w:r>
        <w:t>PROVEDBENA UREDBA KOMISIJE (EU) 2022/2094 оd 28. listopada 2022. o utvrđivanju tehničkih stavki skupova podataka, tehničkih formata za dostavu informacija te detaljnih postupaka i sadržaja izvješćâ o kvaliteti u vezi s organizacijom ankete na uzorku u području potrošnje u skladu s Uredbom (EU) 2019/1700 Europskog parlamenta i Vijeća</w:t>
      </w:r>
    </w:p>
    <w:tbl>
      <w:tblPr>
        <w:tblStyle w:val="StilTablice"/>
        <w:tblW w:w="10206" w:type="dxa"/>
        <w:jc w:val="center"/>
        <w:tblLook w:val="04A0" w:firstRow="1" w:lastRow="0" w:firstColumn="1" w:lastColumn="0" w:noHBand="0" w:noVBand="1"/>
      </w:tblPr>
      <w:tblGrid>
        <w:gridCol w:w="1526"/>
        <w:gridCol w:w="1558"/>
        <w:gridCol w:w="1531"/>
        <w:gridCol w:w="1531"/>
        <w:gridCol w:w="1550"/>
        <w:gridCol w:w="1540"/>
        <w:gridCol w:w="970"/>
      </w:tblGrid>
      <w:tr w:rsidR="00BF6314" w14:paraId="544D7BE5" w14:textId="77777777">
        <w:trPr>
          <w:jc w:val="center"/>
        </w:trPr>
        <w:tc>
          <w:tcPr>
            <w:tcW w:w="1530" w:type="dxa"/>
            <w:shd w:val="clear" w:color="auto" w:fill="B5C0D8"/>
          </w:tcPr>
          <w:p w14:paraId="167BEB86" w14:textId="77777777" w:rsidR="00BF6314" w:rsidRDefault="003E3176">
            <w:pPr>
              <w:pStyle w:val="CellHeader"/>
            </w:pPr>
            <w:r>
              <w:rPr>
                <w:rFonts w:cs="Times New Roman"/>
              </w:rPr>
              <w:t>Naziv aktivnosti</w:t>
            </w:r>
          </w:p>
        </w:tc>
        <w:tc>
          <w:tcPr>
            <w:tcW w:w="1632" w:type="dxa"/>
            <w:shd w:val="clear" w:color="auto" w:fill="B5C0D8"/>
          </w:tcPr>
          <w:p w14:paraId="2B07370B" w14:textId="77777777" w:rsidR="00BF6314" w:rsidRDefault="003E3176">
            <w:pPr>
              <w:pStyle w:val="CellHeader"/>
            </w:pPr>
            <w:r>
              <w:rPr>
                <w:rFonts w:cs="Times New Roman"/>
              </w:rPr>
              <w:t>Izvršenje 2023. (eur)</w:t>
            </w:r>
          </w:p>
        </w:tc>
        <w:tc>
          <w:tcPr>
            <w:tcW w:w="1632" w:type="dxa"/>
            <w:shd w:val="clear" w:color="auto" w:fill="B5C0D8"/>
          </w:tcPr>
          <w:p w14:paraId="4ED75FC9" w14:textId="77777777" w:rsidR="00BF6314" w:rsidRDefault="003E3176">
            <w:pPr>
              <w:pStyle w:val="CellHeader"/>
            </w:pPr>
            <w:r>
              <w:rPr>
                <w:rFonts w:cs="Times New Roman"/>
              </w:rPr>
              <w:t>Plan 2024. (eur)</w:t>
            </w:r>
          </w:p>
        </w:tc>
        <w:tc>
          <w:tcPr>
            <w:tcW w:w="1632" w:type="dxa"/>
            <w:shd w:val="clear" w:color="auto" w:fill="B5C0D8"/>
          </w:tcPr>
          <w:p w14:paraId="3782841A" w14:textId="77777777" w:rsidR="00BF6314" w:rsidRDefault="003E3176">
            <w:pPr>
              <w:pStyle w:val="CellHeader"/>
            </w:pPr>
            <w:r>
              <w:rPr>
                <w:rFonts w:cs="Times New Roman"/>
              </w:rPr>
              <w:t>Plan 2025. (eur)</w:t>
            </w:r>
          </w:p>
        </w:tc>
        <w:tc>
          <w:tcPr>
            <w:tcW w:w="1632" w:type="dxa"/>
            <w:shd w:val="clear" w:color="auto" w:fill="B5C0D8"/>
          </w:tcPr>
          <w:p w14:paraId="2512AA5F" w14:textId="77777777" w:rsidR="00BF6314" w:rsidRDefault="003E3176">
            <w:pPr>
              <w:pStyle w:val="CellHeader"/>
            </w:pPr>
            <w:r>
              <w:rPr>
                <w:rFonts w:cs="Times New Roman"/>
              </w:rPr>
              <w:t>Plan 2026. (eur)</w:t>
            </w:r>
          </w:p>
        </w:tc>
        <w:tc>
          <w:tcPr>
            <w:tcW w:w="1632" w:type="dxa"/>
            <w:shd w:val="clear" w:color="auto" w:fill="B5C0D8"/>
          </w:tcPr>
          <w:p w14:paraId="581EB894" w14:textId="77777777" w:rsidR="00BF6314" w:rsidRDefault="003E3176">
            <w:pPr>
              <w:pStyle w:val="CellHeader"/>
            </w:pPr>
            <w:r>
              <w:rPr>
                <w:rFonts w:cs="Times New Roman"/>
              </w:rPr>
              <w:t>Plan 2027. (eur)</w:t>
            </w:r>
          </w:p>
        </w:tc>
        <w:tc>
          <w:tcPr>
            <w:tcW w:w="510" w:type="dxa"/>
            <w:shd w:val="clear" w:color="auto" w:fill="B5C0D8"/>
          </w:tcPr>
          <w:p w14:paraId="2D9BFD34" w14:textId="77777777" w:rsidR="00BF6314" w:rsidRDefault="003E3176">
            <w:pPr>
              <w:pStyle w:val="CellHeader"/>
            </w:pPr>
            <w:r>
              <w:rPr>
                <w:rFonts w:cs="Times New Roman"/>
              </w:rPr>
              <w:t>Indeks 2025/2024</w:t>
            </w:r>
          </w:p>
        </w:tc>
      </w:tr>
      <w:tr w:rsidR="00BF6314" w14:paraId="270C0B26" w14:textId="77777777">
        <w:trPr>
          <w:jc w:val="center"/>
        </w:trPr>
        <w:tc>
          <w:tcPr>
            <w:tcW w:w="1530" w:type="dxa"/>
          </w:tcPr>
          <w:p w14:paraId="3B96EF63" w14:textId="77777777" w:rsidR="00BF6314" w:rsidRDefault="003E3176">
            <w:pPr>
              <w:pStyle w:val="CellColumn"/>
            </w:pPr>
            <w:r>
              <w:rPr>
                <w:rFonts w:cs="Times New Roman"/>
              </w:rPr>
              <w:t>A658109-ANKETA O POTROŠNJI KUĆANSTAVA</w:t>
            </w:r>
          </w:p>
        </w:tc>
        <w:tc>
          <w:tcPr>
            <w:tcW w:w="1632" w:type="dxa"/>
          </w:tcPr>
          <w:p w14:paraId="286A71B9" w14:textId="77777777" w:rsidR="00BF6314" w:rsidRDefault="003E3176">
            <w:pPr>
              <w:pStyle w:val="CellColumn"/>
            </w:pPr>
            <w:r>
              <w:rPr>
                <w:rFonts w:cs="Times New Roman"/>
              </w:rPr>
              <w:t>7.086</w:t>
            </w:r>
          </w:p>
        </w:tc>
        <w:tc>
          <w:tcPr>
            <w:tcW w:w="1632" w:type="dxa"/>
          </w:tcPr>
          <w:p w14:paraId="169987FF" w14:textId="77777777" w:rsidR="00BF6314" w:rsidRDefault="003E3176">
            <w:pPr>
              <w:pStyle w:val="CellColumn"/>
            </w:pPr>
            <w:r>
              <w:rPr>
                <w:rFonts w:cs="Times New Roman"/>
              </w:rPr>
              <w:t>00</w:t>
            </w:r>
          </w:p>
        </w:tc>
        <w:tc>
          <w:tcPr>
            <w:tcW w:w="1632" w:type="dxa"/>
          </w:tcPr>
          <w:p w14:paraId="1B03078C" w14:textId="77777777" w:rsidR="00BF6314" w:rsidRDefault="003E3176">
            <w:pPr>
              <w:pStyle w:val="CellColumn"/>
            </w:pPr>
            <w:r>
              <w:rPr>
                <w:rFonts w:cs="Times New Roman"/>
              </w:rPr>
              <w:t>00</w:t>
            </w:r>
          </w:p>
        </w:tc>
        <w:tc>
          <w:tcPr>
            <w:tcW w:w="1632" w:type="dxa"/>
          </w:tcPr>
          <w:p w14:paraId="5E454B64" w14:textId="77777777" w:rsidR="00BF6314" w:rsidRDefault="003E3176">
            <w:pPr>
              <w:pStyle w:val="CellColumn"/>
            </w:pPr>
            <w:r>
              <w:rPr>
                <w:rFonts w:cs="Times New Roman"/>
              </w:rPr>
              <w:t>366.535</w:t>
            </w:r>
          </w:p>
        </w:tc>
        <w:tc>
          <w:tcPr>
            <w:tcW w:w="1632" w:type="dxa"/>
          </w:tcPr>
          <w:p w14:paraId="236A2AC0" w14:textId="77777777" w:rsidR="00BF6314" w:rsidRDefault="003E3176">
            <w:pPr>
              <w:pStyle w:val="CellColumn"/>
            </w:pPr>
            <w:r>
              <w:rPr>
                <w:rFonts w:cs="Times New Roman"/>
              </w:rPr>
              <w:t>30.213</w:t>
            </w:r>
          </w:p>
        </w:tc>
        <w:tc>
          <w:tcPr>
            <w:tcW w:w="510" w:type="dxa"/>
          </w:tcPr>
          <w:p w14:paraId="3AF6BF0C" w14:textId="77777777" w:rsidR="00BF6314" w:rsidRDefault="003E3176">
            <w:pPr>
              <w:pStyle w:val="CellColumn"/>
            </w:pPr>
            <w:r>
              <w:rPr>
                <w:rFonts w:cs="Times New Roman"/>
              </w:rPr>
              <w:t>0,0</w:t>
            </w:r>
          </w:p>
        </w:tc>
      </w:tr>
    </w:tbl>
    <w:p w14:paraId="141477D7" w14:textId="77777777" w:rsidR="00BF6314" w:rsidRDefault="00BF6314">
      <w:pPr>
        <w:jc w:val="left"/>
      </w:pPr>
    </w:p>
    <w:p w14:paraId="70462E12" w14:textId="77777777" w:rsidR="00BF6314" w:rsidRDefault="003E3176">
      <w:r>
        <w:t xml:space="preserve">Anketa o potrošnji kućanstva (APK) je višegodišnje istraživanje koje se provodi na uzorku privatnih kućanstava u Republici Hrvatskoj. Anketom se prikupljaju podaci o izdacima za potrošnju kućanstava, podaci o socioekonomskim obilježjima kućanstava, podaci o uvjetima stanovanja, opremljenosti trajnim dobrima i slično. Svrha provođenja Ankete jest dati prikaz životnih uvjeta individualnih kućanstava, tj. dati sliku visine i strukture izdataka za potrošnju kućanstava prema obilježjima koja opisuju socioekonomske karakteristike kućanstva.   </w:t>
      </w:r>
    </w:p>
    <w:p w14:paraId="4F6266DE" w14:textId="77777777" w:rsidR="00BF6314" w:rsidRDefault="003E3176">
      <w:r>
        <w:t xml:space="preserve">Anketa se provodi u skladu s metodološkim preporukama Eurostata te međunarodnim standardima i klasifikacijama. Struktura izdataka za potrošnju kućanstava prati se prema međunarodnoj klasifikaciji COICOP (Classification of Individual Consumption by Purpose). Anketom su, prema metodologiji, obuhvaćena privatna kućanstva, dok institucionalno stanovništvo (domovi, zatvori, bolnice za trajni smještaj osoba i slično), te potrošnja stranih turista nisu obuhvaćeni tim istraživanjem.    </w:t>
      </w:r>
    </w:p>
    <w:p w14:paraId="0D113615" w14:textId="77777777" w:rsidR="00BF6314" w:rsidRDefault="003E3176">
      <w:r>
        <w:t xml:space="preserve">Osnova za izračun potrebnih sredstava za provođenje Ankete o potrošnji kućanstava je veličina uzorka odnosno broj kućanstava koja će biti obuhvaćena ovim istraživanjem. Rashodi se odnose na intelektualne i osobne usluge (naknade vanjskim izvršiteljima- anketarima) te na iznos naknade građanima i  kućanstvima u novcu za vođenje dnevnika.  </w:t>
      </w:r>
    </w:p>
    <w:p w14:paraId="68547887" w14:textId="77777777" w:rsidR="00BF6314" w:rsidRDefault="003E3176">
      <w:r>
        <w:t xml:space="preserve">Iznos planiranih sredstava za 2026. postavljen je prema veličini uzorka od 12.451 kućanstvo, od čega će prema planu za 95% kućanstava biti angažirani vanjski anketari, a za 5% kućanstava zaposlenici Zavoda. Uzimajući u obzir planiranu stopu odgovora od 45% i neodgovora od 55%, trošak anketiranja za vanjske anketare iznosit će 224.627 EUR (uz jediničnu cijenu od 35,04 EUR za pozitivnu i 3,45 EUR za negativnu anketu).    </w:t>
      </w:r>
    </w:p>
    <w:p w14:paraId="0BA0B607" w14:textId="77777777" w:rsidR="00BF6314" w:rsidRDefault="003E3176">
      <w:r>
        <w:t xml:space="preserve">Trošak vođenja dnevnika iznosi 168.090 EUR za procijenjenih 5.603 ispunjenih dnevnika po jediničnoj cijeni od 30,00 EUR.   </w:t>
      </w:r>
    </w:p>
    <w:p w14:paraId="2F73DBFF" w14:textId="77777777" w:rsidR="00BF6314" w:rsidRDefault="003E3176">
      <w:r>
        <w:t>Uključivanjem troška za sudjelovanje anketara na edukaciji u ukupnom iznosu od 4.031 EUR, iskazani trošak Ankete o potrošnji kućanstva u 2026. godini iznosi ukupno 396.748  EUR. Od navedenog ukupnog iznosa dio naknada za aketare te za vođenje dnevnika biti će isplaćene u siječnju 2027.</w:t>
      </w:r>
    </w:p>
    <w:p w14:paraId="0ACB9AFC" w14:textId="77777777" w:rsidR="00BF6314" w:rsidRDefault="003E3176">
      <w:pPr>
        <w:pStyle w:val="Heading8"/>
        <w:jc w:val="left"/>
      </w:pPr>
      <w:r>
        <w:t>Pokazatelji rezultata</w:t>
      </w:r>
    </w:p>
    <w:tbl>
      <w:tblPr>
        <w:tblStyle w:val="StilTablice"/>
        <w:tblW w:w="10206" w:type="dxa"/>
        <w:jc w:val="center"/>
        <w:tblLook w:val="04A0" w:firstRow="1" w:lastRow="0" w:firstColumn="1" w:lastColumn="0" w:noHBand="0" w:noVBand="1"/>
      </w:tblPr>
      <w:tblGrid>
        <w:gridCol w:w="1771"/>
        <w:gridCol w:w="1906"/>
        <w:gridCol w:w="1702"/>
        <w:gridCol w:w="917"/>
        <w:gridCol w:w="1159"/>
        <w:gridCol w:w="917"/>
        <w:gridCol w:w="917"/>
        <w:gridCol w:w="917"/>
      </w:tblGrid>
      <w:tr w:rsidR="00BF6314" w14:paraId="190E5721" w14:textId="77777777">
        <w:trPr>
          <w:jc w:val="center"/>
        </w:trPr>
        <w:tc>
          <w:tcPr>
            <w:tcW w:w="2245" w:type="dxa"/>
            <w:shd w:val="clear" w:color="auto" w:fill="B5C0D8"/>
          </w:tcPr>
          <w:p w14:paraId="400564C1" w14:textId="77777777" w:rsidR="00BF6314" w:rsidRDefault="003E3176">
            <w:r>
              <w:t>Pokazatelj rezultata</w:t>
            </w:r>
          </w:p>
        </w:tc>
        <w:tc>
          <w:tcPr>
            <w:tcW w:w="2245" w:type="dxa"/>
            <w:shd w:val="clear" w:color="auto" w:fill="B5C0D8"/>
          </w:tcPr>
          <w:p w14:paraId="29F7043A" w14:textId="77777777" w:rsidR="00BF6314" w:rsidRDefault="003E3176">
            <w:pPr>
              <w:pStyle w:val="CellHeader"/>
            </w:pPr>
            <w:r>
              <w:rPr>
                <w:rFonts w:cs="Times New Roman"/>
              </w:rPr>
              <w:t>Definicija</w:t>
            </w:r>
          </w:p>
        </w:tc>
        <w:tc>
          <w:tcPr>
            <w:tcW w:w="2245" w:type="dxa"/>
            <w:shd w:val="clear" w:color="auto" w:fill="B5C0D8"/>
          </w:tcPr>
          <w:p w14:paraId="0469DCD2" w14:textId="77777777" w:rsidR="00BF6314" w:rsidRDefault="003E3176">
            <w:pPr>
              <w:pStyle w:val="CellHeader"/>
            </w:pPr>
            <w:r>
              <w:rPr>
                <w:rFonts w:cs="Times New Roman"/>
              </w:rPr>
              <w:t>Jedinica</w:t>
            </w:r>
          </w:p>
        </w:tc>
        <w:tc>
          <w:tcPr>
            <w:tcW w:w="918" w:type="dxa"/>
            <w:shd w:val="clear" w:color="auto" w:fill="B5C0D8"/>
          </w:tcPr>
          <w:p w14:paraId="6C491D28" w14:textId="77777777" w:rsidR="00BF6314" w:rsidRDefault="003E3176">
            <w:pPr>
              <w:pStyle w:val="CellHeader"/>
            </w:pPr>
            <w:r>
              <w:rPr>
                <w:rFonts w:cs="Times New Roman"/>
              </w:rPr>
              <w:t>Polazna vrijednost</w:t>
            </w:r>
          </w:p>
        </w:tc>
        <w:tc>
          <w:tcPr>
            <w:tcW w:w="918" w:type="dxa"/>
            <w:shd w:val="clear" w:color="auto" w:fill="B5C0D8"/>
          </w:tcPr>
          <w:p w14:paraId="4BF08290" w14:textId="77777777" w:rsidR="00BF6314" w:rsidRDefault="003E3176">
            <w:pPr>
              <w:pStyle w:val="CellHeader"/>
            </w:pPr>
            <w:r>
              <w:rPr>
                <w:rFonts w:cs="Times New Roman"/>
              </w:rPr>
              <w:t>Izvor podataka</w:t>
            </w:r>
          </w:p>
        </w:tc>
        <w:tc>
          <w:tcPr>
            <w:tcW w:w="918" w:type="dxa"/>
            <w:shd w:val="clear" w:color="auto" w:fill="B5C0D8"/>
          </w:tcPr>
          <w:p w14:paraId="64CDB20A" w14:textId="77777777" w:rsidR="00BF6314" w:rsidRDefault="003E3176">
            <w:pPr>
              <w:pStyle w:val="CellHeader"/>
            </w:pPr>
            <w:r>
              <w:rPr>
                <w:rFonts w:cs="Times New Roman"/>
              </w:rPr>
              <w:t>Ciljana vrijednost (2025.)</w:t>
            </w:r>
          </w:p>
        </w:tc>
        <w:tc>
          <w:tcPr>
            <w:tcW w:w="918" w:type="dxa"/>
            <w:shd w:val="clear" w:color="auto" w:fill="B5C0D8"/>
          </w:tcPr>
          <w:p w14:paraId="423420C5" w14:textId="77777777" w:rsidR="00BF6314" w:rsidRDefault="003E3176">
            <w:pPr>
              <w:pStyle w:val="CellHeader"/>
            </w:pPr>
            <w:r>
              <w:rPr>
                <w:rFonts w:cs="Times New Roman"/>
              </w:rPr>
              <w:t>Ciljana vrijednost (2026.)</w:t>
            </w:r>
          </w:p>
        </w:tc>
        <w:tc>
          <w:tcPr>
            <w:tcW w:w="918" w:type="dxa"/>
            <w:shd w:val="clear" w:color="auto" w:fill="B5C0D8"/>
          </w:tcPr>
          <w:p w14:paraId="64D9F80F" w14:textId="77777777" w:rsidR="00BF6314" w:rsidRDefault="003E3176">
            <w:pPr>
              <w:pStyle w:val="CellHeader"/>
            </w:pPr>
            <w:r>
              <w:rPr>
                <w:rFonts w:cs="Times New Roman"/>
              </w:rPr>
              <w:t>Ciljana vrijednost (2027.)</w:t>
            </w:r>
          </w:p>
        </w:tc>
      </w:tr>
      <w:tr w:rsidR="00BF6314" w14:paraId="2394B1E5" w14:textId="77777777">
        <w:trPr>
          <w:jc w:val="center"/>
        </w:trPr>
        <w:tc>
          <w:tcPr>
            <w:tcW w:w="2245" w:type="dxa"/>
          </w:tcPr>
          <w:p w14:paraId="5631543E" w14:textId="77777777" w:rsidR="00BF6314" w:rsidRDefault="003E3176">
            <w:pPr>
              <w:pStyle w:val="CellColumn"/>
            </w:pPr>
            <w:r>
              <w:rPr>
                <w:rFonts w:cs="Times New Roman"/>
              </w:rPr>
              <w:lastRenderedPageBreak/>
              <w:t>Provedena anketa o potrošnji kućanstva</w:t>
            </w:r>
          </w:p>
        </w:tc>
        <w:tc>
          <w:tcPr>
            <w:tcW w:w="2245" w:type="dxa"/>
          </w:tcPr>
          <w:p w14:paraId="3D79C4C3" w14:textId="77777777" w:rsidR="00BF6314" w:rsidRDefault="003E3176">
            <w:pPr>
              <w:pStyle w:val="CellColumn"/>
            </w:pPr>
            <w:r>
              <w:rPr>
                <w:rFonts w:cs="Times New Roman"/>
              </w:rPr>
              <w:t>Provedbom ankete o potrošnji kućanstva, u skladu s metodološkim preporukama Eurostata te međunarodnim standardima dobiti će se prikaz životnih uvjeta individualnih kućanstava</w:t>
            </w:r>
          </w:p>
        </w:tc>
        <w:tc>
          <w:tcPr>
            <w:tcW w:w="918" w:type="dxa"/>
          </w:tcPr>
          <w:p w14:paraId="037E3872" w14:textId="77777777" w:rsidR="00BF6314" w:rsidRDefault="003E3176">
            <w:pPr>
              <w:pStyle w:val="CellColumn"/>
            </w:pPr>
            <w:r>
              <w:rPr>
                <w:rFonts w:cs="Times New Roman"/>
              </w:rPr>
              <w:t>Broj</w:t>
            </w:r>
          </w:p>
        </w:tc>
        <w:tc>
          <w:tcPr>
            <w:tcW w:w="918" w:type="dxa"/>
          </w:tcPr>
          <w:p w14:paraId="1C482B75" w14:textId="77777777" w:rsidR="00BF6314" w:rsidRDefault="003E3176">
            <w:pPr>
              <w:pStyle w:val="CellColumn"/>
            </w:pPr>
            <w:r>
              <w:rPr>
                <w:rFonts w:cs="Times New Roman"/>
              </w:rPr>
              <w:t>0</w:t>
            </w:r>
          </w:p>
        </w:tc>
        <w:tc>
          <w:tcPr>
            <w:tcW w:w="918" w:type="dxa"/>
          </w:tcPr>
          <w:p w14:paraId="17B7EA45" w14:textId="77777777" w:rsidR="00BF6314" w:rsidRDefault="003E3176">
            <w:pPr>
              <w:pStyle w:val="CellColumn"/>
            </w:pPr>
            <w:r>
              <w:rPr>
                <w:rFonts w:cs="Times New Roman"/>
              </w:rPr>
              <w:t>Izvješće o izvršenju Godišnjega provedbenog plana statističkih aktivnosti Republike Hrvatske</w:t>
            </w:r>
          </w:p>
        </w:tc>
        <w:tc>
          <w:tcPr>
            <w:tcW w:w="918" w:type="dxa"/>
          </w:tcPr>
          <w:p w14:paraId="05A3067A" w14:textId="77777777" w:rsidR="00BF6314" w:rsidRDefault="003E3176">
            <w:pPr>
              <w:pStyle w:val="CellColumn"/>
            </w:pPr>
            <w:r>
              <w:rPr>
                <w:rFonts w:cs="Times New Roman"/>
              </w:rPr>
              <w:t>0</w:t>
            </w:r>
          </w:p>
        </w:tc>
        <w:tc>
          <w:tcPr>
            <w:tcW w:w="918" w:type="dxa"/>
          </w:tcPr>
          <w:p w14:paraId="5A3C2CA4" w14:textId="77777777" w:rsidR="00BF6314" w:rsidRDefault="003E3176">
            <w:pPr>
              <w:pStyle w:val="CellColumn"/>
            </w:pPr>
            <w:r>
              <w:rPr>
                <w:rFonts w:cs="Times New Roman"/>
              </w:rPr>
              <w:t>0</w:t>
            </w:r>
          </w:p>
        </w:tc>
        <w:tc>
          <w:tcPr>
            <w:tcW w:w="918" w:type="dxa"/>
          </w:tcPr>
          <w:p w14:paraId="518983DE" w14:textId="77777777" w:rsidR="00BF6314" w:rsidRDefault="003E3176">
            <w:pPr>
              <w:pStyle w:val="CellColumn"/>
            </w:pPr>
            <w:r>
              <w:rPr>
                <w:rFonts w:cs="Times New Roman"/>
              </w:rPr>
              <w:t>1</w:t>
            </w:r>
          </w:p>
        </w:tc>
      </w:tr>
    </w:tbl>
    <w:p w14:paraId="1A79544B" w14:textId="77777777" w:rsidR="00BF6314" w:rsidRDefault="00BF6314">
      <w:pPr>
        <w:jc w:val="left"/>
      </w:pPr>
    </w:p>
    <w:p w14:paraId="3BA37A44" w14:textId="77777777" w:rsidR="00BF6314" w:rsidRDefault="003E3176">
      <w:pPr>
        <w:pStyle w:val="Heading4"/>
      </w:pPr>
      <w:r>
        <w:t>A658117 ANKETA O DOHOTKU STANOVNIŠTVA</w:t>
      </w:r>
    </w:p>
    <w:p w14:paraId="09966550" w14:textId="77777777" w:rsidR="00BF6314" w:rsidRDefault="003E3176">
      <w:pPr>
        <w:pStyle w:val="Heading8"/>
        <w:jc w:val="left"/>
      </w:pPr>
      <w:r>
        <w:t>Zakonske i druge pravne osnove</w:t>
      </w:r>
    </w:p>
    <w:p w14:paraId="69B96309" w14:textId="77777777" w:rsidR="00BF6314" w:rsidRDefault="003E3176">
      <w:pPr>
        <w:pStyle w:val="Normal5"/>
      </w:pPr>
      <w:r>
        <w:t xml:space="preserve">Zakon o službenoj statistici     </w:t>
      </w:r>
    </w:p>
    <w:p w14:paraId="08193A39" w14:textId="77777777" w:rsidR="00BF6314" w:rsidRDefault="003E3176">
      <w:pPr>
        <w:pStyle w:val="Normal5"/>
      </w:pPr>
      <w:r>
        <w:t xml:space="preserve">Godišnji provedbeni plan statističkih aktivnosti Republike Hrvatske    </w:t>
      </w:r>
    </w:p>
    <w:p w14:paraId="4ADB4A0A" w14:textId="77777777" w:rsidR="00BF6314" w:rsidRDefault="003E3176">
      <w:pPr>
        <w:pStyle w:val="Normal5"/>
      </w:pPr>
      <w:r>
        <w:t xml:space="preserve">UREDBA (EU) 2019/1700 Europskog parlamenta i Vijeća od 10. listopada 2019. o uspostavi zajedničkog okvira za europske statistike o osobama i kućanstvima koje se temelje na podacima o pojedincima prikupljenima na uzorcima, izmjeni uredaba (EZ) br. 808/2004, (EZ) br. 452/2008 i (EZ) br. 1338/2008 Europskog parlamenta i Vijeća, te stavljanju izvan snage Uredbe (EZ) br. 1177/2003 Europskog parlamenta i Vijeća i Uredbe Vijeća (EZ) br. 577/98    </w:t>
      </w:r>
    </w:p>
    <w:p w14:paraId="59B43759" w14:textId="77777777" w:rsidR="00BF6314" w:rsidRDefault="003E3176">
      <w:pPr>
        <w:pStyle w:val="Normal5"/>
      </w:pPr>
      <w:r>
        <w:t xml:space="preserve">PROVEDBENA UREDBA KOMISIJE (EU) 2019/2242 od 16. prosinca 2019. o utvrđivanju tehničkih stavki skupova podataka, tehničkih formata te detaljnih postupaka i sadržaja izvješća o kvaliteti za organizaciju ankete na uzorku u području dohotka i životnih uvjeta u skladu s Uredbom (EU) 2019/1700 Europskog parlamenta i Vijeća    </w:t>
      </w:r>
    </w:p>
    <w:p w14:paraId="71BC49BD" w14:textId="77777777" w:rsidR="00BF6314" w:rsidRDefault="003E3176">
      <w:pPr>
        <w:pStyle w:val="Normal5"/>
      </w:pPr>
      <w:r>
        <w:t xml:space="preserve">PROVEDBENA UREDBA KOMISIJE (EU) 2019/2180 оd 16. prosinca 2019. o utvrđivanju detaljnih postupaka i sadržaja izvješćâ o kvaliteti u skladu s Uredbom (EU) 2019/1700 Europskog parlamenta i Vijeća     </w:t>
      </w:r>
    </w:p>
    <w:p w14:paraId="5F65D3E4" w14:textId="77777777" w:rsidR="00BF6314" w:rsidRDefault="003E3176">
      <w:pPr>
        <w:pStyle w:val="Normal5"/>
      </w:pPr>
      <w:r>
        <w:t xml:space="preserve">PROVEDBENA UREDBA KOMISIJE (EU) 2019/2181 оd 16. prosinca 2019. o utvrđivanju tehničkih značajki za stavke koje su zajedničke za više skupova podataka u skladu s Uredbom (EU) 2019/1700 Europskog parlamenta i Vijeća    </w:t>
      </w:r>
    </w:p>
    <w:p w14:paraId="607EB1F6" w14:textId="77777777" w:rsidR="00BF6314" w:rsidRDefault="003E3176">
      <w:pPr>
        <w:pStyle w:val="Normal5"/>
      </w:pPr>
      <w:r>
        <w:t xml:space="preserve">PROVEDBENA UREDBA KOMISIJE (EU) 2023/2527 оd 17. studenoga 2023. o utvrđivanju tehničkih stavki skupova podataka za ad hoc temu za 2025. o energiji i okolišu u području dohotka i životnih uvjeta u skladu s Uredbom (EU) 2019/1700 Europskog parlamenta i Vijeća   </w:t>
      </w:r>
    </w:p>
    <w:p w14:paraId="777E05ED" w14:textId="77777777" w:rsidR="00BF6314" w:rsidRDefault="003E3176">
      <w:pPr>
        <w:pStyle w:val="Normal5"/>
      </w:pPr>
      <w:r>
        <w:t xml:space="preserve">DELEGIRANA UREDBA KOMISIJE (EU) 2020/256 od 16. prosinca 2019 o dopuni Uredbe (EU) 2019/1700 Europskog parlamenta i Vijeća uspostavom višegodišnjeg ponavljajućeg planiranja      </w:t>
      </w:r>
    </w:p>
    <w:p w14:paraId="38B653F4" w14:textId="77777777" w:rsidR="00BF6314" w:rsidRDefault="003E3176">
      <w:pPr>
        <w:pStyle w:val="Normal5"/>
      </w:pPr>
      <w:r>
        <w:t xml:space="preserve">DELEGIRANA UREDBA KOMISIJE (EU) 2020/258 od 16. prosinca 2019 o dopuni Uredbe (EU) 2019/1700 Europskog parlamenta i Vijeća utvrđivanjem broja i naziva varijabli za područje dohotka i životnih uvjeta   </w:t>
      </w:r>
    </w:p>
    <w:p w14:paraId="45BF7F0C" w14:textId="77777777" w:rsidR="00BF6314" w:rsidRDefault="003E3176">
      <w:pPr>
        <w:pStyle w:val="Normal5"/>
      </w:pPr>
      <w:r>
        <w:t xml:space="preserve">DELEGIRANA UREDBA KOMISIJE (EU) 2024/298 оd 7. studenoga 2023. o dopuni Uredbe (EU) 2019/1700 Europskog parlamenta i Vijeća utvrđivanjem broja i naziva varijabli za ad hoc temu za 2025. „Energija i okoliš” u području dohotka i životnih uvjeta </w:t>
      </w:r>
    </w:p>
    <w:p w14:paraId="5E79CD2B" w14:textId="77777777" w:rsidR="00BF6314" w:rsidRDefault="003E3176">
      <w:pPr>
        <w:pStyle w:val="Normal5"/>
      </w:pPr>
      <w:r>
        <w:t>DELEGIRANA UREDBA KOMISIJE (EU) 2023/167 оd 3. studenoga 2022. o izmjeni Delegirane uredbe (EU) 2020/256 o uspostavi višegodišnjeg ponavljajućeg planiranja</w:t>
      </w:r>
    </w:p>
    <w:tbl>
      <w:tblPr>
        <w:tblStyle w:val="StilTablice"/>
        <w:tblW w:w="10206" w:type="dxa"/>
        <w:jc w:val="center"/>
        <w:tblLook w:val="04A0" w:firstRow="1" w:lastRow="0" w:firstColumn="1" w:lastColumn="0" w:noHBand="0" w:noVBand="1"/>
      </w:tblPr>
      <w:tblGrid>
        <w:gridCol w:w="1660"/>
        <w:gridCol w:w="1524"/>
        <w:gridCol w:w="1513"/>
        <w:gridCol w:w="1513"/>
        <w:gridCol w:w="1513"/>
        <w:gridCol w:w="1513"/>
        <w:gridCol w:w="970"/>
      </w:tblGrid>
      <w:tr w:rsidR="00BF6314" w14:paraId="38410EF0" w14:textId="77777777">
        <w:trPr>
          <w:jc w:val="center"/>
        </w:trPr>
        <w:tc>
          <w:tcPr>
            <w:tcW w:w="1530" w:type="dxa"/>
            <w:shd w:val="clear" w:color="auto" w:fill="B5C0D8"/>
          </w:tcPr>
          <w:p w14:paraId="01C0D459" w14:textId="77777777" w:rsidR="00BF6314" w:rsidRDefault="003E3176">
            <w:pPr>
              <w:pStyle w:val="CellHeader"/>
            </w:pPr>
            <w:r>
              <w:rPr>
                <w:rFonts w:cs="Times New Roman"/>
              </w:rPr>
              <w:t>Naziv aktivnosti</w:t>
            </w:r>
          </w:p>
        </w:tc>
        <w:tc>
          <w:tcPr>
            <w:tcW w:w="1632" w:type="dxa"/>
            <w:shd w:val="clear" w:color="auto" w:fill="B5C0D8"/>
          </w:tcPr>
          <w:p w14:paraId="5D9F191F" w14:textId="77777777" w:rsidR="00BF6314" w:rsidRDefault="003E3176">
            <w:pPr>
              <w:pStyle w:val="CellHeader"/>
            </w:pPr>
            <w:r>
              <w:rPr>
                <w:rFonts w:cs="Times New Roman"/>
              </w:rPr>
              <w:t>Izvršenje 2023. (eur)</w:t>
            </w:r>
          </w:p>
        </w:tc>
        <w:tc>
          <w:tcPr>
            <w:tcW w:w="1632" w:type="dxa"/>
            <w:shd w:val="clear" w:color="auto" w:fill="B5C0D8"/>
          </w:tcPr>
          <w:p w14:paraId="3B939C59" w14:textId="77777777" w:rsidR="00BF6314" w:rsidRDefault="003E3176">
            <w:pPr>
              <w:pStyle w:val="CellHeader"/>
            </w:pPr>
            <w:r>
              <w:rPr>
                <w:rFonts w:cs="Times New Roman"/>
              </w:rPr>
              <w:t>Plan 2024. (eur)</w:t>
            </w:r>
          </w:p>
        </w:tc>
        <w:tc>
          <w:tcPr>
            <w:tcW w:w="1632" w:type="dxa"/>
            <w:shd w:val="clear" w:color="auto" w:fill="B5C0D8"/>
          </w:tcPr>
          <w:p w14:paraId="28E1C3E5" w14:textId="77777777" w:rsidR="00BF6314" w:rsidRDefault="003E3176">
            <w:pPr>
              <w:pStyle w:val="CellHeader"/>
            </w:pPr>
            <w:r>
              <w:rPr>
                <w:rFonts w:cs="Times New Roman"/>
              </w:rPr>
              <w:t>Plan 2025. (eur)</w:t>
            </w:r>
          </w:p>
        </w:tc>
        <w:tc>
          <w:tcPr>
            <w:tcW w:w="1632" w:type="dxa"/>
            <w:shd w:val="clear" w:color="auto" w:fill="B5C0D8"/>
          </w:tcPr>
          <w:p w14:paraId="7824FF8E" w14:textId="77777777" w:rsidR="00BF6314" w:rsidRDefault="003E3176">
            <w:pPr>
              <w:pStyle w:val="CellHeader"/>
            </w:pPr>
            <w:r>
              <w:rPr>
                <w:rFonts w:cs="Times New Roman"/>
              </w:rPr>
              <w:t>Plan 2026. (eur)</w:t>
            </w:r>
          </w:p>
        </w:tc>
        <w:tc>
          <w:tcPr>
            <w:tcW w:w="1632" w:type="dxa"/>
            <w:shd w:val="clear" w:color="auto" w:fill="B5C0D8"/>
          </w:tcPr>
          <w:p w14:paraId="3E6CE2D9" w14:textId="77777777" w:rsidR="00BF6314" w:rsidRDefault="003E3176">
            <w:pPr>
              <w:pStyle w:val="CellHeader"/>
            </w:pPr>
            <w:r>
              <w:rPr>
                <w:rFonts w:cs="Times New Roman"/>
              </w:rPr>
              <w:t>Plan 2027. (eur)</w:t>
            </w:r>
          </w:p>
        </w:tc>
        <w:tc>
          <w:tcPr>
            <w:tcW w:w="510" w:type="dxa"/>
            <w:shd w:val="clear" w:color="auto" w:fill="B5C0D8"/>
          </w:tcPr>
          <w:p w14:paraId="724766D6" w14:textId="77777777" w:rsidR="00BF6314" w:rsidRDefault="003E3176">
            <w:pPr>
              <w:pStyle w:val="CellHeader"/>
            </w:pPr>
            <w:r>
              <w:rPr>
                <w:rFonts w:cs="Times New Roman"/>
              </w:rPr>
              <w:t>Indeks 2025/2024</w:t>
            </w:r>
          </w:p>
        </w:tc>
      </w:tr>
      <w:tr w:rsidR="00BF6314" w14:paraId="10B64784" w14:textId="77777777">
        <w:trPr>
          <w:jc w:val="center"/>
        </w:trPr>
        <w:tc>
          <w:tcPr>
            <w:tcW w:w="1530" w:type="dxa"/>
          </w:tcPr>
          <w:p w14:paraId="32E6D5F2" w14:textId="77777777" w:rsidR="00BF6314" w:rsidRDefault="003E3176">
            <w:pPr>
              <w:pStyle w:val="CellColumn"/>
            </w:pPr>
            <w:r>
              <w:rPr>
                <w:rFonts w:cs="Times New Roman"/>
              </w:rPr>
              <w:t>A658117-ANKETA O DOHOTKU STANOVNIŠTVA</w:t>
            </w:r>
          </w:p>
        </w:tc>
        <w:tc>
          <w:tcPr>
            <w:tcW w:w="1632" w:type="dxa"/>
          </w:tcPr>
          <w:p w14:paraId="5CAA66B3" w14:textId="77777777" w:rsidR="00BF6314" w:rsidRDefault="003E3176">
            <w:pPr>
              <w:pStyle w:val="CellColumn"/>
            </w:pPr>
            <w:r>
              <w:rPr>
                <w:rFonts w:cs="Times New Roman"/>
              </w:rPr>
              <w:t>227.442</w:t>
            </w:r>
          </w:p>
        </w:tc>
        <w:tc>
          <w:tcPr>
            <w:tcW w:w="1632" w:type="dxa"/>
          </w:tcPr>
          <w:p w14:paraId="1032CD4D" w14:textId="77777777" w:rsidR="00BF6314" w:rsidRDefault="003E3176">
            <w:pPr>
              <w:pStyle w:val="CellColumn"/>
            </w:pPr>
            <w:r>
              <w:rPr>
                <w:rFonts w:cs="Times New Roman"/>
              </w:rPr>
              <w:t>251.285</w:t>
            </w:r>
          </w:p>
        </w:tc>
        <w:tc>
          <w:tcPr>
            <w:tcW w:w="1632" w:type="dxa"/>
          </w:tcPr>
          <w:p w14:paraId="07FAC883" w14:textId="77777777" w:rsidR="00BF6314" w:rsidRDefault="003E3176">
            <w:pPr>
              <w:pStyle w:val="CellColumn"/>
            </w:pPr>
            <w:r>
              <w:rPr>
                <w:rFonts w:cs="Times New Roman"/>
              </w:rPr>
              <w:t>292.109</w:t>
            </w:r>
          </w:p>
        </w:tc>
        <w:tc>
          <w:tcPr>
            <w:tcW w:w="1632" w:type="dxa"/>
          </w:tcPr>
          <w:p w14:paraId="3AEAEC48" w14:textId="77777777" w:rsidR="00BF6314" w:rsidRDefault="003E3176">
            <w:pPr>
              <w:pStyle w:val="CellColumn"/>
            </w:pPr>
            <w:r>
              <w:rPr>
                <w:rFonts w:cs="Times New Roman"/>
              </w:rPr>
              <w:t>292.109</w:t>
            </w:r>
          </w:p>
        </w:tc>
        <w:tc>
          <w:tcPr>
            <w:tcW w:w="1632" w:type="dxa"/>
          </w:tcPr>
          <w:p w14:paraId="617763D1" w14:textId="77777777" w:rsidR="00BF6314" w:rsidRDefault="003E3176">
            <w:pPr>
              <w:pStyle w:val="CellColumn"/>
            </w:pPr>
            <w:r>
              <w:rPr>
                <w:rFonts w:cs="Times New Roman"/>
              </w:rPr>
              <w:t>292.109</w:t>
            </w:r>
          </w:p>
        </w:tc>
        <w:tc>
          <w:tcPr>
            <w:tcW w:w="510" w:type="dxa"/>
          </w:tcPr>
          <w:p w14:paraId="3C3D24B7" w14:textId="77777777" w:rsidR="00BF6314" w:rsidRDefault="003E3176">
            <w:pPr>
              <w:pStyle w:val="CellColumn"/>
            </w:pPr>
            <w:r>
              <w:rPr>
                <w:rFonts w:cs="Times New Roman"/>
              </w:rPr>
              <w:t>116,2</w:t>
            </w:r>
          </w:p>
        </w:tc>
      </w:tr>
    </w:tbl>
    <w:p w14:paraId="3BE24DEC" w14:textId="77777777" w:rsidR="00BF6314" w:rsidRDefault="00BF6314">
      <w:pPr>
        <w:jc w:val="left"/>
      </w:pPr>
    </w:p>
    <w:p w14:paraId="73D42EB3" w14:textId="77777777" w:rsidR="00BF6314" w:rsidRDefault="003E3176">
      <w:r>
        <w:lastRenderedPageBreak/>
        <w:t xml:space="preserve">Anketa o dohotku stanovništva (ADS) je godišnje anketno istraživanje kućanstava. Istraživanjem se prikupljaju podaci o sastavu kućanstava, uvjetima i troškovima stanovanja, raspoloživosti trajnim dobrima i financijskoj situaciji kućanstava, podaci o bruto i neto dohotku te različitim monetarnim i nemonetarnim primanjima članova kućanstava, podaci o ekonomskoj aktivnosti, obrazovnom statusu, brizi o vlastitom zdravlju te brizi o djeci i podaci o ostalim aspektima životnog standarda. Navedeni podaci su osnovni izvor za izračun pokazatelja siromaštva, distribucije dohotka i socijalne isključenosti stanovništva. Ovo istraživanje je obvezatno istraživanje za sve zemlje članice Europske unije.     </w:t>
      </w:r>
    </w:p>
    <w:p w14:paraId="2E106C4F" w14:textId="77777777" w:rsidR="00BF6314" w:rsidRDefault="003E3176">
      <w:r>
        <w:t xml:space="preserve">Osnova za izračun potrebnih sredstava za provođenje Ankete o dohotku stanovništva je veličina uzorka odnosno broj kućanstava koja će biti obuhvaćena ovim istraživanjem. Troškovi se odnose na intelektualne i osobne usluge (naknade vanjskim izvršiteljima, tj. anketarima). Plan proračunskih sredstava za 2025.-2027. godinu je postavljen prema veličini uzorka od 12.800 kućanstava. Povećanje uzorka od 2015. godine koje se bilježi za Anketu o dohotku stanovništva bilo je nužno radi dobivanja pouzdanih podataka o siromaštvu i socijalnoj isključenosti stanovništva na razini statističkih regija (NUTS 2). Pouzdani i reprezentativni podaci na razini NUTS 2 zahtjev su Eurostat-a i nacionalnih donositelja odluka i predstavljaju obvezu od 2018. godine kako bi se bolje razumjela raspodjela siromaštva. Reprezentativni podaci na razini NUTS 2 važni su i u kontekstu ravnomjerne alokacije sredstava namijenjenih regionalnom razvoju u okviru kohezijske politike.     </w:t>
      </w:r>
    </w:p>
    <w:p w14:paraId="4717E01A" w14:textId="77777777" w:rsidR="00BF6314" w:rsidRDefault="003E3176">
      <w:r>
        <w:t>Od ukupno 12.800 kućanstava koje će biti obuhvaćeno Anketom svake navedene planske godine, za 95 % kućanstava angažirani će biti vanjski anketari, a za 5 % kućanstava zaposlenici Zavoda. Uzimajući u obzir stopu odgovora od 77% i neodgovora od 23%, te jediničnu naknadu vanjskim anketarima od 27,59 EUR za pozitivnu anketu i 3,45 EUR za negativnu anketu, te uključivanjem troška za sudjelovanje anketara u edukaciji u ukupnom iznosu od 4.031 EUR, procijenjeni trošak anketiranja za vanjske anketare u 2025., 2026. i 2027. godini iznosi godišnje 292.109 EUR.</w:t>
      </w:r>
    </w:p>
    <w:p w14:paraId="79FD1145" w14:textId="77777777" w:rsidR="00BF6314" w:rsidRDefault="003E3176">
      <w:pPr>
        <w:pStyle w:val="Heading8"/>
        <w:jc w:val="left"/>
      </w:pPr>
      <w:r>
        <w:t>Pokazatelji rezultata</w:t>
      </w:r>
    </w:p>
    <w:tbl>
      <w:tblPr>
        <w:tblStyle w:val="StilTablice"/>
        <w:tblW w:w="10206" w:type="dxa"/>
        <w:jc w:val="center"/>
        <w:tblLook w:val="04A0" w:firstRow="1" w:lastRow="0" w:firstColumn="1" w:lastColumn="0" w:noHBand="0" w:noVBand="1"/>
      </w:tblPr>
      <w:tblGrid>
        <w:gridCol w:w="1833"/>
        <w:gridCol w:w="1837"/>
        <w:gridCol w:w="1709"/>
        <w:gridCol w:w="917"/>
        <w:gridCol w:w="1159"/>
        <w:gridCol w:w="917"/>
        <w:gridCol w:w="917"/>
        <w:gridCol w:w="917"/>
      </w:tblGrid>
      <w:tr w:rsidR="00BF6314" w14:paraId="2DC3037F" w14:textId="77777777">
        <w:trPr>
          <w:jc w:val="center"/>
        </w:trPr>
        <w:tc>
          <w:tcPr>
            <w:tcW w:w="2245" w:type="dxa"/>
            <w:shd w:val="clear" w:color="auto" w:fill="B5C0D8"/>
          </w:tcPr>
          <w:p w14:paraId="7C8C7D5F" w14:textId="77777777" w:rsidR="00BF6314" w:rsidRDefault="003E3176">
            <w:r>
              <w:t>Pokazatelj rezultata</w:t>
            </w:r>
          </w:p>
        </w:tc>
        <w:tc>
          <w:tcPr>
            <w:tcW w:w="2245" w:type="dxa"/>
            <w:shd w:val="clear" w:color="auto" w:fill="B5C0D8"/>
          </w:tcPr>
          <w:p w14:paraId="34B2A8B6" w14:textId="77777777" w:rsidR="00BF6314" w:rsidRDefault="003E3176">
            <w:pPr>
              <w:pStyle w:val="CellHeader"/>
            </w:pPr>
            <w:r>
              <w:rPr>
                <w:rFonts w:cs="Times New Roman"/>
              </w:rPr>
              <w:t>Definicija</w:t>
            </w:r>
          </w:p>
        </w:tc>
        <w:tc>
          <w:tcPr>
            <w:tcW w:w="2245" w:type="dxa"/>
            <w:shd w:val="clear" w:color="auto" w:fill="B5C0D8"/>
          </w:tcPr>
          <w:p w14:paraId="44FF2A0E" w14:textId="77777777" w:rsidR="00BF6314" w:rsidRDefault="003E3176">
            <w:pPr>
              <w:pStyle w:val="CellHeader"/>
            </w:pPr>
            <w:r>
              <w:rPr>
                <w:rFonts w:cs="Times New Roman"/>
              </w:rPr>
              <w:t>Jedinica</w:t>
            </w:r>
          </w:p>
        </w:tc>
        <w:tc>
          <w:tcPr>
            <w:tcW w:w="918" w:type="dxa"/>
            <w:shd w:val="clear" w:color="auto" w:fill="B5C0D8"/>
          </w:tcPr>
          <w:p w14:paraId="0BFD300F" w14:textId="77777777" w:rsidR="00BF6314" w:rsidRDefault="003E3176">
            <w:pPr>
              <w:pStyle w:val="CellHeader"/>
            </w:pPr>
            <w:r>
              <w:rPr>
                <w:rFonts w:cs="Times New Roman"/>
              </w:rPr>
              <w:t>Polazna vrijednost</w:t>
            </w:r>
          </w:p>
        </w:tc>
        <w:tc>
          <w:tcPr>
            <w:tcW w:w="918" w:type="dxa"/>
            <w:shd w:val="clear" w:color="auto" w:fill="B5C0D8"/>
          </w:tcPr>
          <w:p w14:paraId="0B29622E" w14:textId="77777777" w:rsidR="00BF6314" w:rsidRDefault="003E3176">
            <w:pPr>
              <w:pStyle w:val="CellHeader"/>
            </w:pPr>
            <w:r>
              <w:rPr>
                <w:rFonts w:cs="Times New Roman"/>
              </w:rPr>
              <w:t>Izvor podataka</w:t>
            </w:r>
          </w:p>
        </w:tc>
        <w:tc>
          <w:tcPr>
            <w:tcW w:w="918" w:type="dxa"/>
            <w:shd w:val="clear" w:color="auto" w:fill="B5C0D8"/>
          </w:tcPr>
          <w:p w14:paraId="4DA83110" w14:textId="77777777" w:rsidR="00BF6314" w:rsidRDefault="003E3176">
            <w:pPr>
              <w:pStyle w:val="CellHeader"/>
            </w:pPr>
            <w:r>
              <w:rPr>
                <w:rFonts w:cs="Times New Roman"/>
              </w:rPr>
              <w:t>Ciljana vrijednost (2025.)</w:t>
            </w:r>
          </w:p>
        </w:tc>
        <w:tc>
          <w:tcPr>
            <w:tcW w:w="918" w:type="dxa"/>
            <w:shd w:val="clear" w:color="auto" w:fill="B5C0D8"/>
          </w:tcPr>
          <w:p w14:paraId="486F0F0D" w14:textId="77777777" w:rsidR="00BF6314" w:rsidRDefault="003E3176">
            <w:pPr>
              <w:pStyle w:val="CellHeader"/>
            </w:pPr>
            <w:r>
              <w:rPr>
                <w:rFonts w:cs="Times New Roman"/>
              </w:rPr>
              <w:t>Ciljana vrijednost (2026.)</w:t>
            </w:r>
          </w:p>
        </w:tc>
        <w:tc>
          <w:tcPr>
            <w:tcW w:w="918" w:type="dxa"/>
            <w:shd w:val="clear" w:color="auto" w:fill="B5C0D8"/>
          </w:tcPr>
          <w:p w14:paraId="67A13033" w14:textId="77777777" w:rsidR="00BF6314" w:rsidRDefault="003E3176">
            <w:pPr>
              <w:pStyle w:val="CellHeader"/>
            </w:pPr>
            <w:r>
              <w:rPr>
                <w:rFonts w:cs="Times New Roman"/>
              </w:rPr>
              <w:t>Ciljana vrijednost (2027.)</w:t>
            </w:r>
          </w:p>
        </w:tc>
      </w:tr>
      <w:tr w:rsidR="00BF6314" w14:paraId="6724E1E2" w14:textId="77777777">
        <w:trPr>
          <w:jc w:val="center"/>
        </w:trPr>
        <w:tc>
          <w:tcPr>
            <w:tcW w:w="2245" w:type="dxa"/>
          </w:tcPr>
          <w:p w14:paraId="2D69F95A" w14:textId="77777777" w:rsidR="00BF6314" w:rsidRDefault="003E3176">
            <w:pPr>
              <w:pStyle w:val="CellColumn"/>
            </w:pPr>
            <w:r>
              <w:rPr>
                <w:rFonts w:cs="Times New Roman"/>
              </w:rPr>
              <w:t>Provedena anketa o dohotku stanovništva</w:t>
            </w:r>
          </w:p>
        </w:tc>
        <w:tc>
          <w:tcPr>
            <w:tcW w:w="2245" w:type="dxa"/>
          </w:tcPr>
          <w:p w14:paraId="558FBFD8" w14:textId="77777777" w:rsidR="00BF6314" w:rsidRDefault="003E3176">
            <w:pPr>
              <w:pStyle w:val="CellColumn"/>
            </w:pPr>
            <w:r>
              <w:rPr>
                <w:rFonts w:cs="Times New Roman"/>
              </w:rPr>
              <w:t>Provedbom ankete o dohotku stanovništva dobivaju se osnovni podaci za izračun pokazatelja siromaštva, distribucije dohotka i socijalne isključenosti stanovništva</w:t>
            </w:r>
          </w:p>
        </w:tc>
        <w:tc>
          <w:tcPr>
            <w:tcW w:w="918" w:type="dxa"/>
          </w:tcPr>
          <w:p w14:paraId="06BFAC9F" w14:textId="77777777" w:rsidR="00BF6314" w:rsidRDefault="003E3176">
            <w:pPr>
              <w:pStyle w:val="CellColumn"/>
            </w:pPr>
            <w:r>
              <w:rPr>
                <w:rFonts w:cs="Times New Roman"/>
              </w:rPr>
              <w:t>Broj</w:t>
            </w:r>
          </w:p>
        </w:tc>
        <w:tc>
          <w:tcPr>
            <w:tcW w:w="918" w:type="dxa"/>
          </w:tcPr>
          <w:p w14:paraId="024DF980" w14:textId="77777777" w:rsidR="00BF6314" w:rsidRDefault="003E3176">
            <w:pPr>
              <w:pStyle w:val="CellColumn"/>
            </w:pPr>
            <w:r>
              <w:rPr>
                <w:rFonts w:cs="Times New Roman"/>
              </w:rPr>
              <w:t>1</w:t>
            </w:r>
          </w:p>
        </w:tc>
        <w:tc>
          <w:tcPr>
            <w:tcW w:w="918" w:type="dxa"/>
          </w:tcPr>
          <w:p w14:paraId="04695DA6" w14:textId="77777777" w:rsidR="00BF6314" w:rsidRDefault="003E3176">
            <w:pPr>
              <w:pStyle w:val="CellColumn"/>
            </w:pPr>
            <w:r>
              <w:rPr>
                <w:rFonts w:cs="Times New Roman"/>
              </w:rPr>
              <w:t>Izvješće o izvršenju Godišnjega provedbenog plana statističkih aktivnosti Republike Hrvatske</w:t>
            </w:r>
          </w:p>
        </w:tc>
        <w:tc>
          <w:tcPr>
            <w:tcW w:w="918" w:type="dxa"/>
          </w:tcPr>
          <w:p w14:paraId="593A5AFC" w14:textId="77777777" w:rsidR="00BF6314" w:rsidRDefault="003E3176">
            <w:pPr>
              <w:pStyle w:val="CellColumn"/>
            </w:pPr>
            <w:r>
              <w:rPr>
                <w:rFonts w:cs="Times New Roman"/>
              </w:rPr>
              <w:t>1</w:t>
            </w:r>
          </w:p>
        </w:tc>
        <w:tc>
          <w:tcPr>
            <w:tcW w:w="918" w:type="dxa"/>
          </w:tcPr>
          <w:p w14:paraId="2EC1506D" w14:textId="77777777" w:rsidR="00BF6314" w:rsidRDefault="003E3176">
            <w:pPr>
              <w:pStyle w:val="CellColumn"/>
            </w:pPr>
            <w:r>
              <w:rPr>
                <w:rFonts w:cs="Times New Roman"/>
              </w:rPr>
              <w:t>1</w:t>
            </w:r>
          </w:p>
        </w:tc>
        <w:tc>
          <w:tcPr>
            <w:tcW w:w="918" w:type="dxa"/>
          </w:tcPr>
          <w:p w14:paraId="49373CD0" w14:textId="77777777" w:rsidR="00BF6314" w:rsidRDefault="003E3176">
            <w:pPr>
              <w:pStyle w:val="CellColumn"/>
            </w:pPr>
            <w:r>
              <w:rPr>
                <w:rFonts w:cs="Times New Roman"/>
              </w:rPr>
              <w:t>1</w:t>
            </w:r>
          </w:p>
        </w:tc>
      </w:tr>
    </w:tbl>
    <w:p w14:paraId="0CFA91A4" w14:textId="77777777" w:rsidR="00BF6314" w:rsidRDefault="00BF6314">
      <w:pPr>
        <w:jc w:val="left"/>
      </w:pPr>
    </w:p>
    <w:p w14:paraId="03B201B2" w14:textId="77777777" w:rsidR="00BF6314" w:rsidRDefault="003E3176">
      <w:pPr>
        <w:pStyle w:val="Heading4"/>
      </w:pPr>
      <w:r>
        <w:t>A658126 PRIKUPLJANJE PODATAKA O CIJENAMA DOBARA I USLUGA</w:t>
      </w:r>
    </w:p>
    <w:p w14:paraId="5EF7B738" w14:textId="77777777" w:rsidR="00BF6314" w:rsidRDefault="003E3176">
      <w:pPr>
        <w:pStyle w:val="Heading8"/>
        <w:jc w:val="left"/>
      </w:pPr>
      <w:r>
        <w:t>Zakonske i druge pravne osnove</w:t>
      </w:r>
    </w:p>
    <w:p w14:paraId="603CC9F7" w14:textId="77777777" w:rsidR="00BF6314" w:rsidRDefault="003E3176">
      <w:pPr>
        <w:pStyle w:val="Normal5"/>
      </w:pPr>
      <w:r>
        <w:t xml:space="preserve">Zakon o službenoj statistici     </w:t>
      </w:r>
    </w:p>
    <w:p w14:paraId="171CF4C8" w14:textId="77777777" w:rsidR="00BF6314" w:rsidRDefault="003E3176">
      <w:pPr>
        <w:pStyle w:val="Normal5"/>
      </w:pPr>
      <w:r>
        <w:t xml:space="preserve">Godišnji provedbeni plan statističkih aktivnosti Republike Hrvatske    </w:t>
      </w:r>
    </w:p>
    <w:p w14:paraId="4CE74D49" w14:textId="77777777" w:rsidR="00BF6314" w:rsidRDefault="003E3176">
      <w:pPr>
        <w:pStyle w:val="Normal5"/>
      </w:pPr>
      <w:r>
        <w:t xml:space="preserve">UREDBA (EU) br. 2016/792 Europskog parlamenta i Vijeća od 11. svibnja 2016. o harmoniziranim    </w:t>
      </w:r>
    </w:p>
    <w:p w14:paraId="608CBEF0" w14:textId="77777777" w:rsidR="00BF6314" w:rsidRDefault="003E3176">
      <w:pPr>
        <w:pStyle w:val="Normal5"/>
      </w:pPr>
      <w:r>
        <w:t xml:space="preserve">indeksima potrošačkih cijena i indeksu cijena stambenih objekata i stavljanju izvan snage Uredbe Vijeća    </w:t>
      </w:r>
    </w:p>
    <w:p w14:paraId="1285D9BA" w14:textId="77777777" w:rsidR="00BF6314" w:rsidRDefault="003E3176">
      <w:pPr>
        <w:pStyle w:val="Normal5"/>
      </w:pPr>
      <w:r>
        <w:t xml:space="preserve">(EZ) br. 2494/95 (SL L 135/11, 24. 5. 2016.).  </w:t>
      </w:r>
    </w:p>
    <w:p w14:paraId="33FE748F" w14:textId="77777777" w:rsidR="00BF6314" w:rsidRDefault="003E3176">
      <w:pPr>
        <w:pStyle w:val="Normal5"/>
      </w:pPr>
      <w:r>
        <w:t>PROVEDBENA UREDBA KOMISIJE (EU) 2020/1148 od 31. srpnja 2020. o utvrđivanju metodoloških i tehničkih specifikacija u skladu s Uredbom (EU) 2016/792 Europskog parlamenta i Vijeća o harmoniziranim indeksima potrošačkih cijena i indeksu cijena stambenih objekata (C/2020/5166, SL L 252, 4.8.2020.).</w:t>
      </w:r>
    </w:p>
    <w:tbl>
      <w:tblPr>
        <w:tblStyle w:val="StilTablice"/>
        <w:tblW w:w="10206" w:type="dxa"/>
        <w:jc w:val="center"/>
        <w:tblLook w:val="04A0" w:firstRow="1" w:lastRow="0" w:firstColumn="1" w:lastColumn="0" w:noHBand="0" w:noVBand="1"/>
      </w:tblPr>
      <w:tblGrid>
        <w:gridCol w:w="1527"/>
        <w:gridCol w:w="1549"/>
        <w:gridCol w:w="1540"/>
        <w:gridCol w:w="1540"/>
        <w:gridCol w:w="1540"/>
        <w:gridCol w:w="1540"/>
        <w:gridCol w:w="970"/>
      </w:tblGrid>
      <w:tr w:rsidR="00BF6314" w14:paraId="4D9A3C35" w14:textId="77777777">
        <w:trPr>
          <w:jc w:val="center"/>
        </w:trPr>
        <w:tc>
          <w:tcPr>
            <w:tcW w:w="1530" w:type="dxa"/>
            <w:shd w:val="clear" w:color="auto" w:fill="B5C0D8"/>
          </w:tcPr>
          <w:p w14:paraId="43CA706F" w14:textId="77777777" w:rsidR="00BF6314" w:rsidRDefault="003E3176">
            <w:pPr>
              <w:pStyle w:val="CellHeader"/>
            </w:pPr>
            <w:r>
              <w:rPr>
                <w:rFonts w:cs="Times New Roman"/>
              </w:rPr>
              <w:t>Naziv aktivnosti</w:t>
            </w:r>
          </w:p>
        </w:tc>
        <w:tc>
          <w:tcPr>
            <w:tcW w:w="1632" w:type="dxa"/>
            <w:shd w:val="clear" w:color="auto" w:fill="B5C0D8"/>
          </w:tcPr>
          <w:p w14:paraId="48482E09" w14:textId="77777777" w:rsidR="00BF6314" w:rsidRDefault="003E3176">
            <w:pPr>
              <w:pStyle w:val="CellHeader"/>
            </w:pPr>
            <w:r>
              <w:rPr>
                <w:rFonts w:cs="Times New Roman"/>
              </w:rPr>
              <w:t>Izvršenje 2023. (eur)</w:t>
            </w:r>
          </w:p>
        </w:tc>
        <w:tc>
          <w:tcPr>
            <w:tcW w:w="1632" w:type="dxa"/>
            <w:shd w:val="clear" w:color="auto" w:fill="B5C0D8"/>
          </w:tcPr>
          <w:p w14:paraId="141AF5B3" w14:textId="77777777" w:rsidR="00BF6314" w:rsidRDefault="003E3176">
            <w:pPr>
              <w:pStyle w:val="CellHeader"/>
            </w:pPr>
            <w:r>
              <w:rPr>
                <w:rFonts w:cs="Times New Roman"/>
              </w:rPr>
              <w:t>Plan 2024. (eur)</w:t>
            </w:r>
          </w:p>
        </w:tc>
        <w:tc>
          <w:tcPr>
            <w:tcW w:w="1632" w:type="dxa"/>
            <w:shd w:val="clear" w:color="auto" w:fill="B5C0D8"/>
          </w:tcPr>
          <w:p w14:paraId="6950931D" w14:textId="77777777" w:rsidR="00BF6314" w:rsidRDefault="003E3176">
            <w:pPr>
              <w:pStyle w:val="CellHeader"/>
            </w:pPr>
            <w:r>
              <w:rPr>
                <w:rFonts w:cs="Times New Roman"/>
              </w:rPr>
              <w:t>Plan 2025. (eur)</w:t>
            </w:r>
          </w:p>
        </w:tc>
        <w:tc>
          <w:tcPr>
            <w:tcW w:w="1632" w:type="dxa"/>
            <w:shd w:val="clear" w:color="auto" w:fill="B5C0D8"/>
          </w:tcPr>
          <w:p w14:paraId="5328BD7D" w14:textId="77777777" w:rsidR="00BF6314" w:rsidRDefault="003E3176">
            <w:pPr>
              <w:pStyle w:val="CellHeader"/>
            </w:pPr>
            <w:r>
              <w:rPr>
                <w:rFonts w:cs="Times New Roman"/>
              </w:rPr>
              <w:t>Plan 2026. (eur)</w:t>
            </w:r>
          </w:p>
        </w:tc>
        <w:tc>
          <w:tcPr>
            <w:tcW w:w="1632" w:type="dxa"/>
            <w:shd w:val="clear" w:color="auto" w:fill="B5C0D8"/>
          </w:tcPr>
          <w:p w14:paraId="5CFA4B36" w14:textId="77777777" w:rsidR="00BF6314" w:rsidRDefault="003E3176">
            <w:pPr>
              <w:pStyle w:val="CellHeader"/>
            </w:pPr>
            <w:r>
              <w:rPr>
                <w:rFonts w:cs="Times New Roman"/>
              </w:rPr>
              <w:t>Plan 2027. (eur)</w:t>
            </w:r>
          </w:p>
        </w:tc>
        <w:tc>
          <w:tcPr>
            <w:tcW w:w="510" w:type="dxa"/>
            <w:shd w:val="clear" w:color="auto" w:fill="B5C0D8"/>
          </w:tcPr>
          <w:p w14:paraId="0924388D" w14:textId="77777777" w:rsidR="00BF6314" w:rsidRDefault="003E3176">
            <w:pPr>
              <w:pStyle w:val="CellHeader"/>
            </w:pPr>
            <w:r>
              <w:rPr>
                <w:rFonts w:cs="Times New Roman"/>
              </w:rPr>
              <w:t>Indeks 2025/2024</w:t>
            </w:r>
          </w:p>
        </w:tc>
      </w:tr>
      <w:tr w:rsidR="00BF6314" w14:paraId="3C10B926" w14:textId="77777777">
        <w:trPr>
          <w:jc w:val="center"/>
        </w:trPr>
        <w:tc>
          <w:tcPr>
            <w:tcW w:w="1530" w:type="dxa"/>
          </w:tcPr>
          <w:p w14:paraId="3104A5EE" w14:textId="77777777" w:rsidR="00BF6314" w:rsidRDefault="003E3176">
            <w:pPr>
              <w:pStyle w:val="CellColumn"/>
            </w:pPr>
            <w:r>
              <w:rPr>
                <w:rFonts w:cs="Times New Roman"/>
              </w:rPr>
              <w:lastRenderedPageBreak/>
              <w:t>A658126-PRIKUPLJANJE PODATAKA O CIJENAMA DOBARA I USLUGA</w:t>
            </w:r>
          </w:p>
        </w:tc>
        <w:tc>
          <w:tcPr>
            <w:tcW w:w="1632" w:type="dxa"/>
          </w:tcPr>
          <w:p w14:paraId="1A5E6BC9" w14:textId="77777777" w:rsidR="00BF6314" w:rsidRDefault="003E3176">
            <w:pPr>
              <w:pStyle w:val="CellColumn"/>
            </w:pPr>
            <w:r>
              <w:rPr>
                <w:rFonts w:cs="Times New Roman"/>
              </w:rPr>
              <w:t>97.951</w:t>
            </w:r>
          </w:p>
        </w:tc>
        <w:tc>
          <w:tcPr>
            <w:tcW w:w="1632" w:type="dxa"/>
          </w:tcPr>
          <w:p w14:paraId="3359CD12" w14:textId="77777777" w:rsidR="00BF6314" w:rsidRDefault="003E3176">
            <w:pPr>
              <w:pStyle w:val="CellColumn"/>
            </w:pPr>
            <w:r>
              <w:rPr>
                <w:rFonts w:cs="Times New Roman"/>
              </w:rPr>
              <w:t>110.160</w:t>
            </w:r>
          </w:p>
        </w:tc>
        <w:tc>
          <w:tcPr>
            <w:tcW w:w="1632" w:type="dxa"/>
          </w:tcPr>
          <w:p w14:paraId="171CF738" w14:textId="77777777" w:rsidR="00BF6314" w:rsidRDefault="003E3176">
            <w:pPr>
              <w:pStyle w:val="CellColumn"/>
            </w:pPr>
            <w:r>
              <w:rPr>
                <w:rFonts w:cs="Times New Roman"/>
              </w:rPr>
              <w:t>110.160</w:t>
            </w:r>
          </w:p>
        </w:tc>
        <w:tc>
          <w:tcPr>
            <w:tcW w:w="1632" w:type="dxa"/>
          </w:tcPr>
          <w:p w14:paraId="4D44E45A" w14:textId="77777777" w:rsidR="00BF6314" w:rsidRDefault="003E3176">
            <w:pPr>
              <w:pStyle w:val="CellColumn"/>
            </w:pPr>
            <w:r>
              <w:rPr>
                <w:rFonts w:cs="Times New Roman"/>
              </w:rPr>
              <w:t>110.160</w:t>
            </w:r>
          </w:p>
        </w:tc>
        <w:tc>
          <w:tcPr>
            <w:tcW w:w="1632" w:type="dxa"/>
          </w:tcPr>
          <w:p w14:paraId="66F935B2" w14:textId="77777777" w:rsidR="00BF6314" w:rsidRDefault="003E3176">
            <w:pPr>
              <w:pStyle w:val="CellColumn"/>
            </w:pPr>
            <w:r>
              <w:rPr>
                <w:rFonts w:cs="Times New Roman"/>
              </w:rPr>
              <w:t>110.160</w:t>
            </w:r>
          </w:p>
        </w:tc>
        <w:tc>
          <w:tcPr>
            <w:tcW w:w="510" w:type="dxa"/>
          </w:tcPr>
          <w:p w14:paraId="018DE82D" w14:textId="77777777" w:rsidR="00BF6314" w:rsidRDefault="003E3176">
            <w:pPr>
              <w:pStyle w:val="CellColumn"/>
            </w:pPr>
            <w:r>
              <w:rPr>
                <w:rFonts w:cs="Times New Roman"/>
              </w:rPr>
              <w:t>100,0</w:t>
            </w:r>
          </w:p>
        </w:tc>
      </w:tr>
    </w:tbl>
    <w:p w14:paraId="689BC67D" w14:textId="77777777" w:rsidR="00BF6314" w:rsidRDefault="00BF6314">
      <w:pPr>
        <w:jc w:val="left"/>
      </w:pPr>
    </w:p>
    <w:p w14:paraId="3B1A8CFE" w14:textId="77777777" w:rsidR="00BF6314" w:rsidRDefault="003E3176">
      <w:r>
        <w:t xml:space="preserve">Prikupljanje podataka o cijenama dobara i usluga obuhvaća sljedeće poslove:   </w:t>
      </w:r>
    </w:p>
    <w:p w14:paraId="049FAF1D" w14:textId="77777777" w:rsidR="00BF6314" w:rsidRDefault="003E3176">
      <w:r>
        <w:t xml:space="preserve">Mjesečno prikupljanje i dostava mjesečno prikupljenih podataka o maloprodajnim cijenama dobara i usluga u svrhu izračuna a) Indeksa potrošačkih cijena te posljedično b) Harmoniziranog indeksa potrošačkih cijena. Indeks potrošačkih cijena izračunava se na temelju reprezentativne košarice koju čini oko 900 proizvoda, dobara i usluga koje kupuje referentno stanovništvo radi finalne potrošnje, a ovlašteni snimatelji provode prikupljanje cijena svaki mjesec uz bilježenje specifikacija proizvoda na uzorku od približno 34.500 dobara i usluga u 9 gradova.    </w:t>
      </w:r>
    </w:p>
    <w:p w14:paraId="7D0D9FE8" w14:textId="77777777" w:rsidR="00BF6314" w:rsidRDefault="003E3176">
      <w:r>
        <w:t xml:space="preserve">Planirana sredstva u razdoblju 2025.-2027. iznose 110.160 EUR za svaku godinu.  </w:t>
      </w:r>
    </w:p>
    <w:p w14:paraId="0EBC8637" w14:textId="77777777" w:rsidR="00BF6314" w:rsidRDefault="003E3176">
      <w:r>
        <w:t>Pri procjeni se uzima da će otprilike 70% ukupnog broja snimatelja biti službenici Zavoda, a 30% vanjski izvršioci.</w:t>
      </w:r>
    </w:p>
    <w:p w14:paraId="71759410" w14:textId="77777777" w:rsidR="00BF6314" w:rsidRDefault="003E3176">
      <w:pPr>
        <w:pStyle w:val="Heading8"/>
        <w:jc w:val="left"/>
      </w:pPr>
      <w:r>
        <w:t>Pokazatelji rezultata</w:t>
      </w:r>
    </w:p>
    <w:tbl>
      <w:tblPr>
        <w:tblStyle w:val="StilTablice"/>
        <w:tblW w:w="10206" w:type="dxa"/>
        <w:jc w:val="center"/>
        <w:tblLook w:val="04A0" w:firstRow="1" w:lastRow="0" w:firstColumn="1" w:lastColumn="0" w:noHBand="0" w:noVBand="1"/>
      </w:tblPr>
      <w:tblGrid>
        <w:gridCol w:w="1872"/>
        <w:gridCol w:w="1872"/>
        <w:gridCol w:w="1639"/>
        <w:gridCol w:w="916"/>
        <w:gridCol w:w="1159"/>
        <w:gridCol w:w="916"/>
        <w:gridCol w:w="916"/>
        <w:gridCol w:w="916"/>
      </w:tblGrid>
      <w:tr w:rsidR="00BF6314" w14:paraId="359F9A77" w14:textId="77777777">
        <w:trPr>
          <w:jc w:val="center"/>
        </w:trPr>
        <w:tc>
          <w:tcPr>
            <w:tcW w:w="2245" w:type="dxa"/>
            <w:shd w:val="clear" w:color="auto" w:fill="B5C0D8"/>
          </w:tcPr>
          <w:p w14:paraId="46BE30D5" w14:textId="77777777" w:rsidR="00BF6314" w:rsidRDefault="003E3176">
            <w:r>
              <w:t>Pokazatelj rezultata</w:t>
            </w:r>
          </w:p>
        </w:tc>
        <w:tc>
          <w:tcPr>
            <w:tcW w:w="2245" w:type="dxa"/>
            <w:shd w:val="clear" w:color="auto" w:fill="B5C0D8"/>
          </w:tcPr>
          <w:p w14:paraId="09644183" w14:textId="77777777" w:rsidR="00BF6314" w:rsidRDefault="003E3176">
            <w:pPr>
              <w:pStyle w:val="CellHeader"/>
            </w:pPr>
            <w:r>
              <w:rPr>
                <w:rFonts w:cs="Times New Roman"/>
              </w:rPr>
              <w:t>Definicija</w:t>
            </w:r>
          </w:p>
        </w:tc>
        <w:tc>
          <w:tcPr>
            <w:tcW w:w="2245" w:type="dxa"/>
            <w:shd w:val="clear" w:color="auto" w:fill="B5C0D8"/>
          </w:tcPr>
          <w:p w14:paraId="6631E1CE" w14:textId="77777777" w:rsidR="00BF6314" w:rsidRDefault="003E3176">
            <w:pPr>
              <w:pStyle w:val="CellHeader"/>
            </w:pPr>
            <w:r>
              <w:rPr>
                <w:rFonts w:cs="Times New Roman"/>
              </w:rPr>
              <w:t>Jedinica</w:t>
            </w:r>
          </w:p>
        </w:tc>
        <w:tc>
          <w:tcPr>
            <w:tcW w:w="918" w:type="dxa"/>
            <w:shd w:val="clear" w:color="auto" w:fill="B5C0D8"/>
          </w:tcPr>
          <w:p w14:paraId="22B083EA" w14:textId="77777777" w:rsidR="00BF6314" w:rsidRDefault="003E3176">
            <w:pPr>
              <w:pStyle w:val="CellHeader"/>
            </w:pPr>
            <w:r>
              <w:rPr>
                <w:rFonts w:cs="Times New Roman"/>
              </w:rPr>
              <w:t>Polazna vrijednost</w:t>
            </w:r>
          </w:p>
        </w:tc>
        <w:tc>
          <w:tcPr>
            <w:tcW w:w="918" w:type="dxa"/>
            <w:shd w:val="clear" w:color="auto" w:fill="B5C0D8"/>
          </w:tcPr>
          <w:p w14:paraId="68C166F2" w14:textId="77777777" w:rsidR="00BF6314" w:rsidRDefault="003E3176">
            <w:pPr>
              <w:pStyle w:val="CellHeader"/>
            </w:pPr>
            <w:r>
              <w:rPr>
                <w:rFonts w:cs="Times New Roman"/>
              </w:rPr>
              <w:t>Izvor podataka</w:t>
            </w:r>
          </w:p>
        </w:tc>
        <w:tc>
          <w:tcPr>
            <w:tcW w:w="918" w:type="dxa"/>
            <w:shd w:val="clear" w:color="auto" w:fill="B5C0D8"/>
          </w:tcPr>
          <w:p w14:paraId="5E9741EE" w14:textId="77777777" w:rsidR="00BF6314" w:rsidRDefault="003E3176">
            <w:pPr>
              <w:pStyle w:val="CellHeader"/>
            </w:pPr>
            <w:r>
              <w:rPr>
                <w:rFonts w:cs="Times New Roman"/>
              </w:rPr>
              <w:t>Ciljana vrijednost (2025.)</w:t>
            </w:r>
          </w:p>
        </w:tc>
        <w:tc>
          <w:tcPr>
            <w:tcW w:w="918" w:type="dxa"/>
            <w:shd w:val="clear" w:color="auto" w:fill="B5C0D8"/>
          </w:tcPr>
          <w:p w14:paraId="6BC93681" w14:textId="77777777" w:rsidR="00BF6314" w:rsidRDefault="003E3176">
            <w:pPr>
              <w:pStyle w:val="CellHeader"/>
            </w:pPr>
            <w:r>
              <w:rPr>
                <w:rFonts w:cs="Times New Roman"/>
              </w:rPr>
              <w:t>Ciljana vrijednost (2026.)</w:t>
            </w:r>
          </w:p>
        </w:tc>
        <w:tc>
          <w:tcPr>
            <w:tcW w:w="918" w:type="dxa"/>
            <w:shd w:val="clear" w:color="auto" w:fill="B5C0D8"/>
          </w:tcPr>
          <w:p w14:paraId="213CD40C" w14:textId="77777777" w:rsidR="00BF6314" w:rsidRDefault="003E3176">
            <w:pPr>
              <w:pStyle w:val="CellHeader"/>
            </w:pPr>
            <w:r>
              <w:rPr>
                <w:rFonts w:cs="Times New Roman"/>
              </w:rPr>
              <w:t>Ciljana vrijednost (2027.)</w:t>
            </w:r>
          </w:p>
        </w:tc>
      </w:tr>
      <w:tr w:rsidR="00BF6314" w14:paraId="12FDC7F5" w14:textId="77777777">
        <w:trPr>
          <w:jc w:val="center"/>
        </w:trPr>
        <w:tc>
          <w:tcPr>
            <w:tcW w:w="2245" w:type="dxa"/>
          </w:tcPr>
          <w:p w14:paraId="46F5935C" w14:textId="77777777" w:rsidR="00BF6314" w:rsidRDefault="003E3176">
            <w:pPr>
              <w:pStyle w:val="CellColumn"/>
            </w:pPr>
            <w:r>
              <w:rPr>
                <w:rFonts w:cs="Times New Roman"/>
              </w:rPr>
              <w:t>Provedeno prikupljanje podataka o maloprodajnim cijenama dobara i usluga (snimanje cijena)</w:t>
            </w:r>
          </w:p>
        </w:tc>
        <w:tc>
          <w:tcPr>
            <w:tcW w:w="2245" w:type="dxa"/>
          </w:tcPr>
          <w:p w14:paraId="5622F8E0" w14:textId="77777777" w:rsidR="00BF6314" w:rsidRDefault="003E3176">
            <w:pPr>
              <w:pStyle w:val="CellColumn"/>
            </w:pPr>
            <w:r>
              <w:rPr>
                <w:rFonts w:cs="Times New Roman"/>
              </w:rPr>
              <w:t>Provedbom prikupljanja podataka o maloprodajnim cijenama dobara i usluga dobivaju se osnovni podaci za izračun indeksa potrošačkih cijena za 2024. – 2026.</w:t>
            </w:r>
          </w:p>
        </w:tc>
        <w:tc>
          <w:tcPr>
            <w:tcW w:w="918" w:type="dxa"/>
          </w:tcPr>
          <w:p w14:paraId="16B29C05" w14:textId="77777777" w:rsidR="00BF6314" w:rsidRDefault="003E3176">
            <w:pPr>
              <w:pStyle w:val="CellColumn"/>
            </w:pPr>
            <w:r>
              <w:rPr>
                <w:rFonts w:cs="Times New Roman"/>
              </w:rPr>
              <w:t>Broj</w:t>
            </w:r>
          </w:p>
        </w:tc>
        <w:tc>
          <w:tcPr>
            <w:tcW w:w="918" w:type="dxa"/>
          </w:tcPr>
          <w:p w14:paraId="5D181BD8" w14:textId="77777777" w:rsidR="00BF6314" w:rsidRDefault="003E3176">
            <w:pPr>
              <w:pStyle w:val="CellColumn"/>
            </w:pPr>
            <w:r>
              <w:rPr>
                <w:rFonts w:cs="Times New Roman"/>
              </w:rPr>
              <w:t>1</w:t>
            </w:r>
          </w:p>
        </w:tc>
        <w:tc>
          <w:tcPr>
            <w:tcW w:w="918" w:type="dxa"/>
          </w:tcPr>
          <w:p w14:paraId="00F117DF" w14:textId="77777777" w:rsidR="00BF6314" w:rsidRDefault="003E3176">
            <w:pPr>
              <w:pStyle w:val="CellColumn"/>
            </w:pPr>
            <w:r>
              <w:rPr>
                <w:rFonts w:cs="Times New Roman"/>
              </w:rPr>
              <w:t>Izvješće o izvršenju Godišnjega provedbenog plana statističkih aktivnosti Republike Hrvatske</w:t>
            </w:r>
          </w:p>
        </w:tc>
        <w:tc>
          <w:tcPr>
            <w:tcW w:w="918" w:type="dxa"/>
          </w:tcPr>
          <w:p w14:paraId="3C2D76CA" w14:textId="77777777" w:rsidR="00BF6314" w:rsidRDefault="003E3176">
            <w:pPr>
              <w:pStyle w:val="CellColumn"/>
            </w:pPr>
            <w:r>
              <w:rPr>
                <w:rFonts w:cs="Times New Roman"/>
              </w:rPr>
              <w:t>1</w:t>
            </w:r>
          </w:p>
        </w:tc>
        <w:tc>
          <w:tcPr>
            <w:tcW w:w="918" w:type="dxa"/>
          </w:tcPr>
          <w:p w14:paraId="373306BD" w14:textId="77777777" w:rsidR="00BF6314" w:rsidRDefault="003E3176">
            <w:pPr>
              <w:pStyle w:val="CellColumn"/>
            </w:pPr>
            <w:r>
              <w:rPr>
                <w:rFonts w:cs="Times New Roman"/>
              </w:rPr>
              <w:t>1</w:t>
            </w:r>
          </w:p>
        </w:tc>
        <w:tc>
          <w:tcPr>
            <w:tcW w:w="918" w:type="dxa"/>
          </w:tcPr>
          <w:p w14:paraId="3B96606B" w14:textId="77777777" w:rsidR="00BF6314" w:rsidRDefault="003E3176">
            <w:pPr>
              <w:pStyle w:val="CellColumn"/>
            </w:pPr>
            <w:r>
              <w:rPr>
                <w:rFonts w:cs="Times New Roman"/>
              </w:rPr>
              <w:t>1</w:t>
            </w:r>
          </w:p>
        </w:tc>
      </w:tr>
    </w:tbl>
    <w:p w14:paraId="2CECC8BD" w14:textId="77777777" w:rsidR="00BF6314" w:rsidRDefault="00BF6314">
      <w:pPr>
        <w:jc w:val="left"/>
      </w:pPr>
    </w:p>
    <w:p w14:paraId="12DDC01F" w14:textId="77777777" w:rsidR="00BF6314" w:rsidRDefault="003E3176">
      <w:pPr>
        <w:pStyle w:val="Heading4"/>
      </w:pPr>
      <w:r>
        <w:t>A658158 ANKETE O PRIMJENI INFORMACIJSKIH I KOMUNIKACIJSKIH TEHNOLOGIJA IKT-a U KUĆANSTAVIMA I PODUZEĆIMA (IKT-DOM i IKT-POD)</w:t>
      </w:r>
    </w:p>
    <w:p w14:paraId="60202759" w14:textId="77777777" w:rsidR="00BF6314" w:rsidRDefault="003E3176">
      <w:pPr>
        <w:pStyle w:val="Heading8"/>
        <w:jc w:val="left"/>
      </w:pPr>
      <w:r>
        <w:t>Zakonske i druge pravne osnove</w:t>
      </w:r>
    </w:p>
    <w:p w14:paraId="4C92631D" w14:textId="77777777" w:rsidR="00BF6314" w:rsidRDefault="003E3176">
      <w:pPr>
        <w:pStyle w:val="Normal5"/>
      </w:pPr>
      <w:r>
        <w:t xml:space="preserve">Zakon o službenoj statistici     </w:t>
      </w:r>
    </w:p>
    <w:p w14:paraId="26F12AF3" w14:textId="77777777" w:rsidR="00BF6314" w:rsidRDefault="003E3176">
      <w:pPr>
        <w:pStyle w:val="Normal5"/>
      </w:pPr>
      <w:r>
        <w:t xml:space="preserve">Godišnji provedbeni plan statističkih aktivnosti Republike Hrvatske      </w:t>
      </w:r>
    </w:p>
    <w:p w14:paraId="0D0976D6" w14:textId="77777777" w:rsidR="00BF6314" w:rsidRDefault="003E3176">
      <w:pPr>
        <w:pStyle w:val="Normal5"/>
      </w:pPr>
      <w:r>
        <w:t xml:space="preserve">Uredbe (EU) br. 2019/2152 Europskog parlamenta i Vijeća od 27. studenoga 2019. o europskim poslovnim statistikama i stavljanju izvan snage deset pravnih akata u području poslovnih statistika (SL L 327, 17.12.2019.)  </w:t>
      </w:r>
    </w:p>
    <w:p w14:paraId="3F2098F4" w14:textId="77777777" w:rsidR="00BF6314" w:rsidRDefault="003E3176">
      <w:pPr>
        <w:pStyle w:val="Normal5"/>
      </w:pPr>
      <w:r>
        <w:t>Uredba (EU) 2019/1700 Europskog parlamenta i Vijeća od 10. listopada 2019. o uspostavi zajedničkog okvira za europske statistike o osobama i kućanstvima koje se temelje na podacima o pojedincima prikupljenima na uzorcima (L 261/1, 14.10.2019.)</w:t>
      </w:r>
    </w:p>
    <w:tbl>
      <w:tblPr>
        <w:tblStyle w:val="StilTablice"/>
        <w:tblW w:w="10206" w:type="dxa"/>
        <w:jc w:val="center"/>
        <w:tblLook w:val="04A0" w:firstRow="1" w:lastRow="0" w:firstColumn="1" w:lastColumn="0" w:noHBand="0" w:noVBand="1"/>
      </w:tblPr>
      <w:tblGrid>
        <w:gridCol w:w="1971"/>
        <w:gridCol w:w="1484"/>
        <w:gridCol w:w="1431"/>
        <w:gridCol w:w="1450"/>
        <w:gridCol w:w="1450"/>
        <w:gridCol w:w="1450"/>
        <w:gridCol w:w="970"/>
      </w:tblGrid>
      <w:tr w:rsidR="00BF6314" w14:paraId="3214C90B" w14:textId="77777777">
        <w:trPr>
          <w:jc w:val="center"/>
        </w:trPr>
        <w:tc>
          <w:tcPr>
            <w:tcW w:w="1530" w:type="dxa"/>
            <w:shd w:val="clear" w:color="auto" w:fill="B5C0D8"/>
          </w:tcPr>
          <w:p w14:paraId="60989EBB" w14:textId="77777777" w:rsidR="00BF6314" w:rsidRDefault="003E3176">
            <w:pPr>
              <w:pStyle w:val="CellHeader"/>
            </w:pPr>
            <w:r>
              <w:rPr>
                <w:rFonts w:cs="Times New Roman"/>
              </w:rPr>
              <w:t>Naziv aktivnosti</w:t>
            </w:r>
          </w:p>
        </w:tc>
        <w:tc>
          <w:tcPr>
            <w:tcW w:w="1632" w:type="dxa"/>
            <w:shd w:val="clear" w:color="auto" w:fill="B5C0D8"/>
          </w:tcPr>
          <w:p w14:paraId="5A0E60D2" w14:textId="77777777" w:rsidR="00BF6314" w:rsidRDefault="003E3176">
            <w:pPr>
              <w:pStyle w:val="CellHeader"/>
            </w:pPr>
            <w:r>
              <w:rPr>
                <w:rFonts w:cs="Times New Roman"/>
              </w:rPr>
              <w:t>Izvršenje 2023. (eur)</w:t>
            </w:r>
          </w:p>
        </w:tc>
        <w:tc>
          <w:tcPr>
            <w:tcW w:w="1632" w:type="dxa"/>
            <w:shd w:val="clear" w:color="auto" w:fill="B5C0D8"/>
          </w:tcPr>
          <w:p w14:paraId="74A53FE9" w14:textId="77777777" w:rsidR="00BF6314" w:rsidRDefault="003E3176">
            <w:pPr>
              <w:pStyle w:val="CellHeader"/>
            </w:pPr>
            <w:r>
              <w:rPr>
                <w:rFonts w:cs="Times New Roman"/>
              </w:rPr>
              <w:t>Plan 2024. (eur)</w:t>
            </w:r>
          </w:p>
        </w:tc>
        <w:tc>
          <w:tcPr>
            <w:tcW w:w="1632" w:type="dxa"/>
            <w:shd w:val="clear" w:color="auto" w:fill="B5C0D8"/>
          </w:tcPr>
          <w:p w14:paraId="0291D5DE" w14:textId="77777777" w:rsidR="00BF6314" w:rsidRDefault="003E3176">
            <w:pPr>
              <w:pStyle w:val="CellHeader"/>
            </w:pPr>
            <w:r>
              <w:rPr>
                <w:rFonts w:cs="Times New Roman"/>
              </w:rPr>
              <w:t>Plan 2025. (eur)</w:t>
            </w:r>
          </w:p>
        </w:tc>
        <w:tc>
          <w:tcPr>
            <w:tcW w:w="1632" w:type="dxa"/>
            <w:shd w:val="clear" w:color="auto" w:fill="B5C0D8"/>
          </w:tcPr>
          <w:p w14:paraId="2FC661D1" w14:textId="77777777" w:rsidR="00BF6314" w:rsidRDefault="003E3176">
            <w:pPr>
              <w:pStyle w:val="CellHeader"/>
            </w:pPr>
            <w:r>
              <w:rPr>
                <w:rFonts w:cs="Times New Roman"/>
              </w:rPr>
              <w:t>Plan 2026. (eur)</w:t>
            </w:r>
          </w:p>
        </w:tc>
        <w:tc>
          <w:tcPr>
            <w:tcW w:w="1632" w:type="dxa"/>
            <w:shd w:val="clear" w:color="auto" w:fill="B5C0D8"/>
          </w:tcPr>
          <w:p w14:paraId="68A3634C" w14:textId="77777777" w:rsidR="00BF6314" w:rsidRDefault="003E3176">
            <w:pPr>
              <w:pStyle w:val="CellHeader"/>
            </w:pPr>
            <w:r>
              <w:rPr>
                <w:rFonts w:cs="Times New Roman"/>
              </w:rPr>
              <w:t>Plan 2027. (eur)</w:t>
            </w:r>
          </w:p>
        </w:tc>
        <w:tc>
          <w:tcPr>
            <w:tcW w:w="510" w:type="dxa"/>
            <w:shd w:val="clear" w:color="auto" w:fill="B5C0D8"/>
          </w:tcPr>
          <w:p w14:paraId="5F253951" w14:textId="77777777" w:rsidR="00BF6314" w:rsidRDefault="003E3176">
            <w:pPr>
              <w:pStyle w:val="CellHeader"/>
            </w:pPr>
            <w:r>
              <w:rPr>
                <w:rFonts w:cs="Times New Roman"/>
              </w:rPr>
              <w:t>Indeks 2025/2024</w:t>
            </w:r>
          </w:p>
        </w:tc>
      </w:tr>
      <w:tr w:rsidR="00BF6314" w14:paraId="0924EFF2" w14:textId="77777777">
        <w:trPr>
          <w:jc w:val="center"/>
        </w:trPr>
        <w:tc>
          <w:tcPr>
            <w:tcW w:w="1530" w:type="dxa"/>
          </w:tcPr>
          <w:p w14:paraId="6271850F" w14:textId="77777777" w:rsidR="00BF6314" w:rsidRDefault="003E3176">
            <w:pPr>
              <w:pStyle w:val="CellColumn"/>
            </w:pPr>
            <w:r>
              <w:rPr>
                <w:rFonts w:cs="Times New Roman"/>
              </w:rPr>
              <w:lastRenderedPageBreak/>
              <w:t>A658158-ANKETE O PRIMJENI INFORMACIJSKIH I KOMUNIKACIJSKIH TEHNOLOGIJA IKT-a U KUĆANSTAVIMA I PODUZEĆIMA (IKT-DOM i IKT-POD)</w:t>
            </w:r>
          </w:p>
        </w:tc>
        <w:tc>
          <w:tcPr>
            <w:tcW w:w="1632" w:type="dxa"/>
          </w:tcPr>
          <w:p w14:paraId="380A7707" w14:textId="77777777" w:rsidR="00BF6314" w:rsidRDefault="003E3176">
            <w:pPr>
              <w:pStyle w:val="CellColumn"/>
            </w:pPr>
            <w:r>
              <w:rPr>
                <w:rFonts w:cs="Times New Roman"/>
              </w:rPr>
              <w:t>00</w:t>
            </w:r>
          </w:p>
        </w:tc>
        <w:tc>
          <w:tcPr>
            <w:tcW w:w="1632" w:type="dxa"/>
          </w:tcPr>
          <w:p w14:paraId="04851493" w14:textId="77777777" w:rsidR="00BF6314" w:rsidRDefault="003E3176">
            <w:pPr>
              <w:pStyle w:val="CellColumn"/>
            </w:pPr>
            <w:r>
              <w:rPr>
                <w:rFonts w:cs="Times New Roman"/>
              </w:rPr>
              <w:t>00</w:t>
            </w:r>
          </w:p>
        </w:tc>
        <w:tc>
          <w:tcPr>
            <w:tcW w:w="1632" w:type="dxa"/>
          </w:tcPr>
          <w:p w14:paraId="0072F464" w14:textId="77777777" w:rsidR="00BF6314" w:rsidRDefault="003E3176">
            <w:pPr>
              <w:pStyle w:val="CellColumn"/>
            </w:pPr>
            <w:r>
              <w:rPr>
                <w:rFonts w:cs="Times New Roman"/>
              </w:rPr>
              <w:t>12.500</w:t>
            </w:r>
          </w:p>
        </w:tc>
        <w:tc>
          <w:tcPr>
            <w:tcW w:w="1632" w:type="dxa"/>
          </w:tcPr>
          <w:p w14:paraId="55166184" w14:textId="77777777" w:rsidR="00BF6314" w:rsidRDefault="003E3176">
            <w:pPr>
              <w:pStyle w:val="CellColumn"/>
            </w:pPr>
            <w:r>
              <w:rPr>
                <w:rFonts w:cs="Times New Roman"/>
              </w:rPr>
              <w:t>12.500</w:t>
            </w:r>
          </w:p>
        </w:tc>
        <w:tc>
          <w:tcPr>
            <w:tcW w:w="1632" w:type="dxa"/>
          </w:tcPr>
          <w:p w14:paraId="56A7DFD7" w14:textId="77777777" w:rsidR="00BF6314" w:rsidRDefault="003E3176">
            <w:pPr>
              <w:pStyle w:val="CellColumn"/>
            </w:pPr>
            <w:r>
              <w:rPr>
                <w:rFonts w:cs="Times New Roman"/>
              </w:rPr>
              <w:t>12.500</w:t>
            </w:r>
          </w:p>
        </w:tc>
        <w:tc>
          <w:tcPr>
            <w:tcW w:w="510" w:type="dxa"/>
          </w:tcPr>
          <w:p w14:paraId="01432D13" w14:textId="77777777" w:rsidR="00BF6314" w:rsidRDefault="003E3176">
            <w:pPr>
              <w:pStyle w:val="CellColumn"/>
            </w:pPr>
            <w:r>
              <w:rPr>
                <w:rFonts w:cs="Times New Roman"/>
              </w:rPr>
              <w:t>0,0</w:t>
            </w:r>
          </w:p>
        </w:tc>
      </w:tr>
    </w:tbl>
    <w:p w14:paraId="6915D9AD" w14:textId="77777777" w:rsidR="00BF6314" w:rsidRDefault="00BF6314">
      <w:pPr>
        <w:jc w:val="left"/>
      </w:pPr>
    </w:p>
    <w:p w14:paraId="064CA11F" w14:textId="77777777" w:rsidR="00BF6314" w:rsidRDefault="003E3176">
      <w:r>
        <w:t xml:space="preserve">Anketa o primjeni IKT-a u kućanstvima i kod pojedinaca (IKT-DOM) je istraživanje koje se provodi na uzorku privatnih kućanstava. To je godišnje istraživanje o primjeni informacijskih i komunikacijskih tehnologija (IKT) u kućanstvima i kod pojedinaca. Pruža informacije o računalnoj i informacijskoj pismenosti hrvatske populacije. Svrha ovog istraživanja jest izmjeriti raširenost upotrebe računala i ostalih informacijsko-komunikacijskih tehnologija, broj osoba u Republici Hrvatskoj koji su korisnici interneta i za koje svrhe upotrebljavaju internet. Anketa se provodi u skladu s metodološkim preporukama Eurostata te međunarodnim standardima i klasifikacijama.   </w:t>
      </w:r>
    </w:p>
    <w:p w14:paraId="44CDE732" w14:textId="77777777" w:rsidR="00BF6314" w:rsidRDefault="003E3176">
      <w:r>
        <w:t xml:space="preserve">Anketa o primjeni IKT-a u poduzećima je godišnje istraživanje o primjeni informacijskih i komunikacijskih tehnologija (IKT-POD) i daje informacije o upotrebi računala, interneta, elektroničkog poslovanja i ostalih oblika IKT-a u poduzećima. Anketa se provodi u skladu s metodološkim preporukama Eurostata te međunarodnim standardima i klasifikacijama.  </w:t>
      </w:r>
    </w:p>
    <w:p w14:paraId="2A2B4733" w14:textId="77777777" w:rsidR="00BF6314" w:rsidRDefault="003E3176">
      <w:r>
        <w:t xml:space="preserve">Osnova za izračun potrebnih sredstava za provođenje ankete IKT-DOM je veličina uzorka odnosno broj kućanstva koji će biti obuhvaćeni ovim istraživanjem. Rashodi se odnose na trošak rada CATI anketara. Plan proračunskih sredstava je postavljen prema veličini uzorka od 5.500 kućanstava.   </w:t>
      </w:r>
    </w:p>
    <w:p w14:paraId="595747CB" w14:textId="77777777" w:rsidR="00BF6314" w:rsidRDefault="003E3176">
      <w:r>
        <w:t>Podaci se prikupljaju putem web upitnika i telefonskim anketiranjem. Prema dosadašnjem iskustvu putem web upitnika se prikupi oko 500 anketa tako da je rasploživi uzorak za CATI anketu oko 5.000 kućanstava. U izračun je uzeta u obzir stopa odgovora od oko 60%, te jedinična cijena ankete od 4,00 EUR. Predviđen je rad 12 CATI anketara, u trošak je uračunata i naknada anketarima za obuku u jediničnom iznosu od 30,00 EUR.</w:t>
      </w:r>
    </w:p>
    <w:p w14:paraId="046A0F8A" w14:textId="77777777" w:rsidR="00BF6314" w:rsidRDefault="003E3176">
      <w:pPr>
        <w:pStyle w:val="Heading8"/>
        <w:jc w:val="left"/>
      </w:pPr>
      <w:r>
        <w:t>Pokazatelji rezultata</w:t>
      </w:r>
    </w:p>
    <w:tbl>
      <w:tblPr>
        <w:tblStyle w:val="StilTablice"/>
        <w:tblW w:w="10206" w:type="dxa"/>
        <w:jc w:val="center"/>
        <w:tblLook w:val="04A0" w:firstRow="1" w:lastRow="0" w:firstColumn="1" w:lastColumn="0" w:noHBand="0" w:noVBand="1"/>
      </w:tblPr>
      <w:tblGrid>
        <w:gridCol w:w="1815"/>
        <w:gridCol w:w="1891"/>
        <w:gridCol w:w="1677"/>
        <w:gridCol w:w="916"/>
        <w:gridCol w:w="1159"/>
        <w:gridCol w:w="916"/>
        <w:gridCol w:w="916"/>
        <w:gridCol w:w="916"/>
      </w:tblGrid>
      <w:tr w:rsidR="00BF6314" w14:paraId="650F5F9E" w14:textId="77777777">
        <w:trPr>
          <w:jc w:val="center"/>
        </w:trPr>
        <w:tc>
          <w:tcPr>
            <w:tcW w:w="2245" w:type="dxa"/>
            <w:shd w:val="clear" w:color="auto" w:fill="B5C0D8"/>
          </w:tcPr>
          <w:p w14:paraId="73E2DDF9" w14:textId="77777777" w:rsidR="00BF6314" w:rsidRDefault="003E3176">
            <w:r>
              <w:t>Pokazatelj rezultata</w:t>
            </w:r>
          </w:p>
        </w:tc>
        <w:tc>
          <w:tcPr>
            <w:tcW w:w="2245" w:type="dxa"/>
            <w:shd w:val="clear" w:color="auto" w:fill="B5C0D8"/>
          </w:tcPr>
          <w:p w14:paraId="616A862D" w14:textId="77777777" w:rsidR="00BF6314" w:rsidRDefault="003E3176">
            <w:pPr>
              <w:pStyle w:val="CellHeader"/>
            </w:pPr>
            <w:r>
              <w:rPr>
                <w:rFonts w:cs="Times New Roman"/>
              </w:rPr>
              <w:t>Definicija</w:t>
            </w:r>
          </w:p>
        </w:tc>
        <w:tc>
          <w:tcPr>
            <w:tcW w:w="2245" w:type="dxa"/>
            <w:shd w:val="clear" w:color="auto" w:fill="B5C0D8"/>
          </w:tcPr>
          <w:p w14:paraId="4EAA5BC4" w14:textId="77777777" w:rsidR="00BF6314" w:rsidRDefault="003E3176">
            <w:pPr>
              <w:pStyle w:val="CellHeader"/>
            </w:pPr>
            <w:r>
              <w:rPr>
                <w:rFonts w:cs="Times New Roman"/>
              </w:rPr>
              <w:t>Jedinica</w:t>
            </w:r>
          </w:p>
        </w:tc>
        <w:tc>
          <w:tcPr>
            <w:tcW w:w="918" w:type="dxa"/>
            <w:shd w:val="clear" w:color="auto" w:fill="B5C0D8"/>
          </w:tcPr>
          <w:p w14:paraId="788F4BDC" w14:textId="77777777" w:rsidR="00BF6314" w:rsidRDefault="003E3176">
            <w:pPr>
              <w:pStyle w:val="CellHeader"/>
            </w:pPr>
            <w:r>
              <w:rPr>
                <w:rFonts w:cs="Times New Roman"/>
              </w:rPr>
              <w:t>Polazna vrijednost</w:t>
            </w:r>
          </w:p>
        </w:tc>
        <w:tc>
          <w:tcPr>
            <w:tcW w:w="918" w:type="dxa"/>
            <w:shd w:val="clear" w:color="auto" w:fill="B5C0D8"/>
          </w:tcPr>
          <w:p w14:paraId="2C5E3913" w14:textId="77777777" w:rsidR="00BF6314" w:rsidRDefault="003E3176">
            <w:pPr>
              <w:pStyle w:val="CellHeader"/>
            </w:pPr>
            <w:r>
              <w:rPr>
                <w:rFonts w:cs="Times New Roman"/>
              </w:rPr>
              <w:t>Izvor podataka</w:t>
            </w:r>
          </w:p>
        </w:tc>
        <w:tc>
          <w:tcPr>
            <w:tcW w:w="918" w:type="dxa"/>
            <w:shd w:val="clear" w:color="auto" w:fill="B5C0D8"/>
          </w:tcPr>
          <w:p w14:paraId="35C05503" w14:textId="77777777" w:rsidR="00BF6314" w:rsidRDefault="003E3176">
            <w:pPr>
              <w:pStyle w:val="CellHeader"/>
            </w:pPr>
            <w:r>
              <w:rPr>
                <w:rFonts w:cs="Times New Roman"/>
              </w:rPr>
              <w:t>Ciljana vrijednost (2025.)</w:t>
            </w:r>
          </w:p>
        </w:tc>
        <w:tc>
          <w:tcPr>
            <w:tcW w:w="918" w:type="dxa"/>
            <w:shd w:val="clear" w:color="auto" w:fill="B5C0D8"/>
          </w:tcPr>
          <w:p w14:paraId="2E8A1607" w14:textId="77777777" w:rsidR="00BF6314" w:rsidRDefault="003E3176">
            <w:pPr>
              <w:pStyle w:val="CellHeader"/>
            </w:pPr>
            <w:r>
              <w:rPr>
                <w:rFonts w:cs="Times New Roman"/>
              </w:rPr>
              <w:t>Ciljana vrijednost (2026.)</w:t>
            </w:r>
          </w:p>
        </w:tc>
        <w:tc>
          <w:tcPr>
            <w:tcW w:w="918" w:type="dxa"/>
            <w:shd w:val="clear" w:color="auto" w:fill="B5C0D8"/>
          </w:tcPr>
          <w:p w14:paraId="027BDE64" w14:textId="77777777" w:rsidR="00BF6314" w:rsidRDefault="003E3176">
            <w:pPr>
              <w:pStyle w:val="CellHeader"/>
            </w:pPr>
            <w:r>
              <w:rPr>
                <w:rFonts w:cs="Times New Roman"/>
              </w:rPr>
              <w:t>Ciljana vrijednost (2027.)</w:t>
            </w:r>
          </w:p>
        </w:tc>
      </w:tr>
      <w:tr w:rsidR="00BF6314" w14:paraId="77FA11BE" w14:textId="77777777">
        <w:trPr>
          <w:jc w:val="center"/>
        </w:trPr>
        <w:tc>
          <w:tcPr>
            <w:tcW w:w="2245" w:type="dxa"/>
          </w:tcPr>
          <w:p w14:paraId="19D42092" w14:textId="77777777" w:rsidR="00BF6314" w:rsidRDefault="003E3176">
            <w:pPr>
              <w:pStyle w:val="CellColumn"/>
            </w:pPr>
            <w:r>
              <w:rPr>
                <w:rFonts w:cs="Times New Roman"/>
              </w:rPr>
              <w:t>Provedena anketa o primjeni IKT-a u kućanstvima i poduzećima</w:t>
            </w:r>
          </w:p>
        </w:tc>
        <w:tc>
          <w:tcPr>
            <w:tcW w:w="2245" w:type="dxa"/>
          </w:tcPr>
          <w:p w14:paraId="79F2484B" w14:textId="77777777" w:rsidR="00BF6314" w:rsidRDefault="003E3176">
            <w:pPr>
              <w:pStyle w:val="CellColumn"/>
            </w:pPr>
            <w:r>
              <w:rPr>
                <w:rFonts w:cs="Times New Roman"/>
              </w:rPr>
              <w:t>Provedbom ankete o primjeni IKT-a u kućanstvima i poduzećima se dobivaju relevantni, ažurni i usporedivi podatci za potrebe mjerenja i razumijevanja društveno-ekonomskog utjecaja primjene IKT-a i utjecaja na produktivnost, kao i pokazatelje informacijskog društva za promatranje dostignuća političkih ciljeva na nacionalnoj razini i razini EU-a.</w:t>
            </w:r>
          </w:p>
        </w:tc>
        <w:tc>
          <w:tcPr>
            <w:tcW w:w="918" w:type="dxa"/>
          </w:tcPr>
          <w:p w14:paraId="5ECC5B7B" w14:textId="77777777" w:rsidR="00BF6314" w:rsidRDefault="003E3176">
            <w:pPr>
              <w:pStyle w:val="CellColumn"/>
            </w:pPr>
            <w:r>
              <w:rPr>
                <w:rFonts w:cs="Times New Roman"/>
              </w:rPr>
              <w:t>Broj</w:t>
            </w:r>
          </w:p>
        </w:tc>
        <w:tc>
          <w:tcPr>
            <w:tcW w:w="918" w:type="dxa"/>
          </w:tcPr>
          <w:p w14:paraId="60DE6FCC" w14:textId="77777777" w:rsidR="00BF6314" w:rsidRDefault="003E3176">
            <w:pPr>
              <w:pStyle w:val="CellColumn"/>
            </w:pPr>
            <w:r>
              <w:rPr>
                <w:rFonts w:cs="Times New Roman"/>
              </w:rPr>
              <w:t>0</w:t>
            </w:r>
          </w:p>
        </w:tc>
        <w:tc>
          <w:tcPr>
            <w:tcW w:w="918" w:type="dxa"/>
          </w:tcPr>
          <w:p w14:paraId="5073D773" w14:textId="77777777" w:rsidR="00BF6314" w:rsidRDefault="003E3176">
            <w:pPr>
              <w:pStyle w:val="CellColumn"/>
            </w:pPr>
            <w:r>
              <w:rPr>
                <w:rFonts w:cs="Times New Roman"/>
              </w:rPr>
              <w:t>Izvješće o izvršenju Godišnjega provedbenog plana statističkih aktivnosti Republike Hrvatske</w:t>
            </w:r>
          </w:p>
        </w:tc>
        <w:tc>
          <w:tcPr>
            <w:tcW w:w="918" w:type="dxa"/>
          </w:tcPr>
          <w:p w14:paraId="071D37AA" w14:textId="77777777" w:rsidR="00BF6314" w:rsidRDefault="003E3176">
            <w:pPr>
              <w:pStyle w:val="CellColumn"/>
            </w:pPr>
            <w:r>
              <w:rPr>
                <w:rFonts w:cs="Times New Roman"/>
              </w:rPr>
              <w:t>1</w:t>
            </w:r>
          </w:p>
        </w:tc>
        <w:tc>
          <w:tcPr>
            <w:tcW w:w="918" w:type="dxa"/>
          </w:tcPr>
          <w:p w14:paraId="06ED22EB" w14:textId="77777777" w:rsidR="00BF6314" w:rsidRDefault="003E3176">
            <w:pPr>
              <w:pStyle w:val="CellColumn"/>
            </w:pPr>
            <w:r>
              <w:rPr>
                <w:rFonts w:cs="Times New Roman"/>
              </w:rPr>
              <w:t>1</w:t>
            </w:r>
          </w:p>
        </w:tc>
        <w:tc>
          <w:tcPr>
            <w:tcW w:w="918" w:type="dxa"/>
          </w:tcPr>
          <w:p w14:paraId="526140A6" w14:textId="77777777" w:rsidR="00BF6314" w:rsidRDefault="003E3176">
            <w:pPr>
              <w:pStyle w:val="CellColumn"/>
            </w:pPr>
            <w:r>
              <w:rPr>
                <w:rFonts w:cs="Times New Roman"/>
              </w:rPr>
              <w:t>1</w:t>
            </w:r>
          </w:p>
        </w:tc>
      </w:tr>
    </w:tbl>
    <w:p w14:paraId="4F87A660" w14:textId="77777777" w:rsidR="00BF6314" w:rsidRDefault="00BF6314">
      <w:pPr>
        <w:jc w:val="left"/>
      </w:pPr>
    </w:p>
    <w:p w14:paraId="22069090" w14:textId="77777777" w:rsidR="00BF6314" w:rsidRDefault="003E3176">
      <w:pPr>
        <w:pStyle w:val="Heading4"/>
      </w:pPr>
      <w:r>
        <w:lastRenderedPageBreak/>
        <w:t>A658159 MAKROEKONOMSKE STATISTIKE</w:t>
      </w:r>
    </w:p>
    <w:p w14:paraId="70E49610" w14:textId="77777777" w:rsidR="00BF6314" w:rsidRDefault="003E3176">
      <w:pPr>
        <w:pStyle w:val="Heading8"/>
        <w:jc w:val="left"/>
      </w:pPr>
      <w:r>
        <w:t>Zakonske i druge pravne osnove</w:t>
      </w:r>
    </w:p>
    <w:p w14:paraId="0C5DD508" w14:textId="77777777" w:rsidR="00BF6314" w:rsidRDefault="003E3176">
      <w:pPr>
        <w:pStyle w:val="Normal5"/>
      </w:pPr>
      <w:r>
        <w:t xml:space="preserve">Zakon o službenoj statistici    </w:t>
      </w:r>
    </w:p>
    <w:p w14:paraId="06C25912" w14:textId="77777777" w:rsidR="00BF6314" w:rsidRDefault="003E3176">
      <w:pPr>
        <w:pStyle w:val="Normal5"/>
      </w:pPr>
      <w:r>
        <w:t>Godišnji provedbeni plan statističkih aktivnosti Republike Hrvatske</w:t>
      </w:r>
    </w:p>
    <w:tbl>
      <w:tblPr>
        <w:tblStyle w:val="StilTablice"/>
        <w:tblW w:w="10206" w:type="dxa"/>
        <w:jc w:val="center"/>
        <w:tblLook w:val="04A0" w:firstRow="1" w:lastRow="0" w:firstColumn="1" w:lastColumn="0" w:noHBand="0" w:noVBand="1"/>
      </w:tblPr>
      <w:tblGrid>
        <w:gridCol w:w="2115"/>
        <w:gridCol w:w="1460"/>
        <w:gridCol w:w="1398"/>
        <w:gridCol w:w="1421"/>
        <w:gridCol w:w="1421"/>
        <w:gridCol w:w="1421"/>
        <w:gridCol w:w="970"/>
      </w:tblGrid>
      <w:tr w:rsidR="00BF6314" w14:paraId="3F2D1137" w14:textId="77777777">
        <w:trPr>
          <w:jc w:val="center"/>
        </w:trPr>
        <w:tc>
          <w:tcPr>
            <w:tcW w:w="1530" w:type="dxa"/>
            <w:shd w:val="clear" w:color="auto" w:fill="B5C0D8"/>
          </w:tcPr>
          <w:p w14:paraId="68DFADC0" w14:textId="77777777" w:rsidR="00BF6314" w:rsidRDefault="003E3176">
            <w:pPr>
              <w:pStyle w:val="CellHeader"/>
            </w:pPr>
            <w:r>
              <w:rPr>
                <w:rFonts w:cs="Times New Roman"/>
              </w:rPr>
              <w:t>Naziv aktivnosti</w:t>
            </w:r>
          </w:p>
        </w:tc>
        <w:tc>
          <w:tcPr>
            <w:tcW w:w="1632" w:type="dxa"/>
            <w:shd w:val="clear" w:color="auto" w:fill="B5C0D8"/>
          </w:tcPr>
          <w:p w14:paraId="68199103" w14:textId="77777777" w:rsidR="00BF6314" w:rsidRDefault="003E3176">
            <w:pPr>
              <w:pStyle w:val="CellHeader"/>
            </w:pPr>
            <w:r>
              <w:rPr>
                <w:rFonts w:cs="Times New Roman"/>
              </w:rPr>
              <w:t>Izvršenje 2023. (eur)</w:t>
            </w:r>
          </w:p>
        </w:tc>
        <w:tc>
          <w:tcPr>
            <w:tcW w:w="1632" w:type="dxa"/>
            <w:shd w:val="clear" w:color="auto" w:fill="B5C0D8"/>
          </w:tcPr>
          <w:p w14:paraId="37DD205E" w14:textId="77777777" w:rsidR="00BF6314" w:rsidRDefault="003E3176">
            <w:pPr>
              <w:pStyle w:val="CellHeader"/>
            </w:pPr>
            <w:r>
              <w:rPr>
                <w:rFonts w:cs="Times New Roman"/>
              </w:rPr>
              <w:t>Plan 2024. (eur)</w:t>
            </w:r>
          </w:p>
        </w:tc>
        <w:tc>
          <w:tcPr>
            <w:tcW w:w="1632" w:type="dxa"/>
            <w:shd w:val="clear" w:color="auto" w:fill="B5C0D8"/>
          </w:tcPr>
          <w:p w14:paraId="392F8ECA" w14:textId="77777777" w:rsidR="00BF6314" w:rsidRDefault="003E3176">
            <w:pPr>
              <w:pStyle w:val="CellHeader"/>
            </w:pPr>
            <w:r>
              <w:rPr>
                <w:rFonts w:cs="Times New Roman"/>
              </w:rPr>
              <w:t>Plan 2025. (eur)</w:t>
            </w:r>
          </w:p>
        </w:tc>
        <w:tc>
          <w:tcPr>
            <w:tcW w:w="1632" w:type="dxa"/>
            <w:shd w:val="clear" w:color="auto" w:fill="B5C0D8"/>
          </w:tcPr>
          <w:p w14:paraId="7085B0A6" w14:textId="77777777" w:rsidR="00BF6314" w:rsidRDefault="003E3176">
            <w:pPr>
              <w:pStyle w:val="CellHeader"/>
            </w:pPr>
            <w:r>
              <w:rPr>
                <w:rFonts w:cs="Times New Roman"/>
              </w:rPr>
              <w:t>Plan 2026. (eur)</w:t>
            </w:r>
          </w:p>
        </w:tc>
        <w:tc>
          <w:tcPr>
            <w:tcW w:w="1632" w:type="dxa"/>
            <w:shd w:val="clear" w:color="auto" w:fill="B5C0D8"/>
          </w:tcPr>
          <w:p w14:paraId="53D6C544" w14:textId="77777777" w:rsidR="00BF6314" w:rsidRDefault="003E3176">
            <w:pPr>
              <w:pStyle w:val="CellHeader"/>
            </w:pPr>
            <w:r>
              <w:rPr>
                <w:rFonts w:cs="Times New Roman"/>
              </w:rPr>
              <w:t>Plan 2027. (eur)</w:t>
            </w:r>
          </w:p>
        </w:tc>
        <w:tc>
          <w:tcPr>
            <w:tcW w:w="510" w:type="dxa"/>
            <w:shd w:val="clear" w:color="auto" w:fill="B5C0D8"/>
          </w:tcPr>
          <w:p w14:paraId="715AB05F" w14:textId="77777777" w:rsidR="00BF6314" w:rsidRDefault="003E3176">
            <w:pPr>
              <w:pStyle w:val="CellHeader"/>
            </w:pPr>
            <w:r>
              <w:rPr>
                <w:rFonts w:cs="Times New Roman"/>
              </w:rPr>
              <w:t>Indeks 2025/2024</w:t>
            </w:r>
          </w:p>
        </w:tc>
      </w:tr>
      <w:tr w:rsidR="00BF6314" w14:paraId="7CE64599" w14:textId="77777777">
        <w:trPr>
          <w:jc w:val="center"/>
        </w:trPr>
        <w:tc>
          <w:tcPr>
            <w:tcW w:w="1530" w:type="dxa"/>
          </w:tcPr>
          <w:p w14:paraId="3EFA499E" w14:textId="77777777" w:rsidR="00BF6314" w:rsidRDefault="003E3176">
            <w:pPr>
              <w:pStyle w:val="CellColumn"/>
            </w:pPr>
            <w:r>
              <w:rPr>
                <w:rFonts w:cs="Times New Roman"/>
              </w:rPr>
              <w:t>A658159-MAKROEKONOMSKE STATISTIKE</w:t>
            </w:r>
          </w:p>
        </w:tc>
        <w:tc>
          <w:tcPr>
            <w:tcW w:w="1632" w:type="dxa"/>
          </w:tcPr>
          <w:p w14:paraId="22E6F5B0" w14:textId="77777777" w:rsidR="00BF6314" w:rsidRDefault="003E3176">
            <w:pPr>
              <w:pStyle w:val="CellColumn"/>
            </w:pPr>
            <w:r>
              <w:rPr>
                <w:rFonts w:cs="Times New Roman"/>
              </w:rPr>
              <w:t>00</w:t>
            </w:r>
          </w:p>
        </w:tc>
        <w:tc>
          <w:tcPr>
            <w:tcW w:w="1632" w:type="dxa"/>
          </w:tcPr>
          <w:p w14:paraId="116C18C3" w14:textId="77777777" w:rsidR="00BF6314" w:rsidRDefault="003E3176">
            <w:pPr>
              <w:pStyle w:val="CellColumn"/>
            </w:pPr>
            <w:r>
              <w:rPr>
                <w:rFonts w:cs="Times New Roman"/>
              </w:rPr>
              <w:t>7.500</w:t>
            </w:r>
          </w:p>
        </w:tc>
        <w:tc>
          <w:tcPr>
            <w:tcW w:w="1632" w:type="dxa"/>
          </w:tcPr>
          <w:p w14:paraId="7AFEB0AD" w14:textId="77777777" w:rsidR="00BF6314" w:rsidRDefault="003E3176">
            <w:pPr>
              <w:pStyle w:val="CellColumn"/>
            </w:pPr>
            <w:r>
              <w:rPr>
                <w:rFonts w:cs="Times New Roman"/>
              </w:rPr>
              <w:t>46.000</w:t>
            </w:r>
          </w:p>
        </w:tc>
        <w:tc>
          <w:tcPr>
            <w:tcW w:w="1632" w:type="dxa"/>
          </w:tcPr>
          <w:p w14:paraId="17CCD3C3" w14:textId="77777777" w:rsidR="00BF6314" w:rsidRDefault="003E3176">
            <w:pPr>
              <w:pStyle w:val="CellColumn"/>
            </w:pPr>
            <w:r>
              <w:rPr>
                <w:rFonts w:cs="Times New Roman"/>
              </w:rPr>
              <w:t>46.000</w:t>
            </w:r>
          </w:p>
        </w:tc>
        <w:tc>
          <w:tcPr>
            <w:tcW w:w="1632" w:type="dxa"/>
          </w:tcPr>
          <w:p w14:paraId="27E49D82" w14:textId="77777777" w:rsidR="00BF6314" w:rsidRDefault="003E3176">
            <w:pPr>
              <w:pStyle w:val="CellColumn"/>
            </w:pPr>
            <w:r>
              <w:rPr>
                <w:rFonts w:cs="Times New Roman"/>
              </w:rPr>
              <w:t>46.000</w:t>
            </w:r>
          </w:p>
        </w:tc>
        <w:tc>
          <w:tcPr>
            <w:tcW w:w="510" w:type="dxa"/>
          </w:tcPr>
          <w:p w14:paraId="087B4A83" w14:textId="77777777" w:rsidR="00BF6314" w:rsidRDefault="003E3176">
            <w:pPr>
              <w:pStyle w:val="CellColumn"/>
            </w:pPr>
            <w:r>
              <w:rPr>
                <w:rFonts w:cs="Times New Roman"/>
              </w:rPr>
              <w:t>613,3</w:t>
            </w:r>
          </w:p>
        </w:tc>
      </w:tr>
    </w:tbl>
    <w:p w14:paraId="2908FFC3" w14:textId="77777777" w:rsidR="00BF6314" w:rsidRDefault="00BF6314">
      <w:pPr>
        <w:jc w:val="left"/>
      </w:pPr>
    </w:p>
    <w:p w14:paraId="59489502" w14:textId="77777777" w:rsidR="00BF6314" w:rsidRDefault="003E3176">
      <w:r>
        <w:t xml:space="preserve">Planirani rashodi u iznosu od 46.000 EUR godišnje odnose se na intelektualne usluge.  </w:t>
      </w:r>
    </w:p>
    <w:p w14:paraId="50895E45" w14:textId="77777777" w:rsidR="00BF6314" w:rsidRDefault="003E3176">
      <w:r>
        <w:t>Planiranim sredstvima financirati će se provedba savjetodavnih usluga koje se traže od tehničkih stručnjaka za makroekonomske analize te statističke analize i modele kao i angažiranje vanjskog suradnika za Mjesečno prikupljanje i kontrola podataka o maloprodajnim cijenama dobara i usluga u svrhu provedbe istraživanja Indeks potrošačkih cijena.</w:t>
      </w:r>
    </w:p>
    <w:p w14:paraId="40F2502A" w14:textId="77777777" w:rsidR="00BF6314" w:rsidRDefault="003E3176">
      <w:pPr>
        <w:pStyle w:val="Heading8"/>
        <w:jc w:val="left"/>
      </w:pPr>
      <w:r>
        <w:t>Pokazatelji rezultata</w:t>
      </w:r>
    </w:p>
    <w:tbl>
      <w:tblPr>
        <w:tblStyle w:val="StilTablice"/>
        <w:tblW w:w="10206" w:type="dxa"/>
        <w:jc w:val="center"/>
        <w:tblLook w:val="04A0" w:firstRow="1" w:lastRow="0" w:firstColumn="1" w:lastColumn="0" w:noHBand="0" w:noVBand="1"/>
      </w:tblPr>
      <w:tblGrid>
        <w:gridCol w:w="2026"/>
        <w:gridCol w:w="1877"/>
        <w:gridCol w:w="1745"/>
        <w:gridCol w:w="917"/>
        <w:gridCol w:w="890"/>
        <w:gridCol w:w="917"/>
        <w:gridCol w:w="917"/>
        <w:gridCol w:w="917"/>
      </w:tblGrid>
      <w:tr w:rsidR="00BF6314" w14:paraId="2D050B10" w14:textId="77777777">
        <w:trPr>
          <w:jc w:val="center"/>
        </w:trPr>
        <w:tc>
          <w:tcPr>
            <w:tcW w:w="2245" w:type="dxa"/>
            <w:shd w:val="clear" w:color="auto" w:fill="B5C0D8"/>
          </w:tcPr>
          <w:p w14:paraId="2AFA1F98" w14:textId="77777777" w:rsidR="00BF6314" w:rsidRDefault="003E3176">
            <w:r>
              <w:t>Pokazatelj rezultata</w:t>
            </w:r>
          </w:p>
        </w:tc>
        <w:tc>
          <w:tcPr>
            <w:tcW w:w="2245" w:type="dxa"/>
            <w:shd w:val="clear" w:color="auto" w:fill="B5C0D8"/>
          </w:tcPr>
          <w:p w14:paraId="589AD6DF" w14:textId="77777777" w:rsidR="00BF6314" w:rsidRDefault="003E3176">
            <w:pPr>
              <w:pStyle w:val="CellHeader"/>
            </w:pPr>
            <w:r>
              <w:rPr>
                <w:rFonts w:cs="Times New Roman"/>
              </w:rPr>
              <w:t>Definicija</w:t>
            </w:r>
          </w:p>
        </w:tc>
        <w:tc>
          <w:tcPr>
            <w:tcW w:w="2245" w:type="dxa"/>
            <w:shd w:val="clear" w:color="auto" w:fill="B5C0D8"/>
          </w:tcPr>
          <w:p w14:paraId="4731FBE2" w14:textId="77777777" w:rsidR="00BF6314" w:rsidRDefault="003E3176">
            <w:pPr>
              <w:pStyle w:val="CellHeader"/>
            </w:pPr>
            <w:r>
              <w:rPr>
                <w:rFonts w:cs="Times New Roman"/>
              </w:rPr>
              <w:t>Jedinica</w:t>
            </w:r>
          </w:p>
        </w:tc>
        <w:tc>
          <w:tcPr>
            <w:tcW w:w="918" w:type="dxa"/>
            <w:shd w:val="clear" w:color="auto" w:fill="B5C0D8"/>
          </w:tcPr>
          <w:p w14:paraId="6398E2E5" w14:textId="77777777" w:rsidR="00BF6314" w:rsidRDefault="003E3176">
            <w:pPr>
              <w:pStyle w:val="CellHeader"/>
            </w:pPr>
            <w:r>
              <w:rPr>
                <w:rFonts w:cs="Times New Roman"/>
              </w:rPr>
              <w:t>Polazna vrijednost</w:t>
            </w:r>
          </w:p>
        </w:tc>
        <w:tc>
          <w:tcPr>
            <w:tcW w:w="918" w:type="dxa"/>
            <w:shd w:val="clear" w:color="auto" w:fill="B5C0D8"/>
          </w:tcPr>
          <w:p w14:paraId="7B454434" w14:textId="77777777" w:rsidR="00BF6314" w:rsidRDefault="003E3176">
            <w:pPr>
              <w:pStyle w:val="CellHeader"/>
            </w:pPr>
            <w:r>
              <w:rPr>
                <w:rFonts w:cs="Times New Roman"/>
              </w:rPr>
              <w:t>Izvor podataka</w:t>
            </w:r>
          </w:p>
        </w:tc>
        <w:tc>
          <w:tcPr>
            <w:tcW w:w="918" w:type="dxa"/>
            <w:shd w:val="clear" w:color="auto" w:fill="B5C0D8"/>
          </w:tcPr>
          <w:p w14:paraId="2B567701" w14:textId="77777777" w:rsidR="00BF6314" w:rsidRDefault="003E3176">
            <w:pPr>
              <w:pStyle w:val="CellHeader"/>
            </w:pPr>
            <w:r>
              <w:rPr>
                <w:rFonts w:cs="Times New Roman"/>
              </w:rPr>
              <w:t>Ciljana vrijednost (2025.)</w:t>
            </w:r>
          </w:p>
        </w:tc>
        <w:tc>
          <w:tcPr>
            <w:tcW w:w="918" w:type="dxa"/>
            <w:shd w:val="clear" w:color="auto" w:fill="B5C0D8"/>
          </w:tcPr>
          <w:p w14:paraId="2F201B6F" w14:textId="77777777" w:rsidR="00BF6314" w:rsidRDefault="003E3176">
            <w:pPr>
              <w:pStyle w:val="CellHeader"/>
            </w:pPr>
            <w:r>
              <w:rPr>
                <w:rFonts w:cs="Times New Roman"/>
              </w:rPr>
              <w:t>Ciljana vrijednost (2026.)</w:t>
            </w:r>
          </w:p>
        </w:tc>
        <w:tc>
          <w:tcPr>
            <w:tcW w:w="918" w:type="dxa"/>
            <w:shd w:val="clear" w:color="auto" w:fill="B5C0D8"/>
          </w:tcPr>
          <w:p w14:paraId="7DC94265" w14:textId="77777777" w:rsidR="00BF6314" w:rsidRDefault="003E3176">
            <w:pPr>
              <w:pStyle w:val="CellHeader"/>
            </w:pPr>
            <w:r>
              <w:rPr>
                <w:rFonts w:cs="Times New Roman"/>
              </w:rPr>
              <w:t>Ciljana vrijednost (2027.)</w:t>
            </w:r>
          </w:p>
        </w:tc>
      </w:tr>
      <w:tr w:rsidR="00BF6314" w14:paraId="23C783AA" w14:textId="77777777">
        <w:trPr>
          <w:jc w:val="center"/>
        </w:trPr>
        <w:tc>
          <w:tcPr>
            <w:tcW w:w="2245" w:type="dxa"/>
          </w:tcPr>
          <w:p w14:paraId="35862DB8" w14:textId="77777777" w:rsidR="00BF6314" w:rsidRDefault="003E3176">
            <w:pPr>
              <w:pStyle w:val="CellColumn"/>
            </w:pPr>
            <w:r>
              <w:rPr>
                <w:rFonts w:cs="Times New Roman"/>
              </w:rPr>
              <w:t>Uvedeno unaprjeđenje statističkog modeliranja makroekonomskih statistika</w:t>
            </w:r>
          </w:p>
        </w:tc>
        <w:tc>
          <w:tcPr>
            <w:tcW w:w="2245" w:type="dxa"/>
          </w:tcPr>
          <w:p w14:paraId="7794BB90" w14:textId="77777777" w:rsidR="00BF6314" w:rsidRDefault="003E3176">
            <w:pPr>
              <w:pStyle w:val="CellColumn"/>
            </w:pPr>
            <w:r>
              <w:rPr>
                <w:rFonts w:cs="Times New Roman"/>
              </w:rPr>
              <w:t>Izvršene savjetodavne usluge za unaprjeđenje statističkog modeliranja</w:t>
            </w:r>
          </w:p>
        </w:tc>
        <w:tc>
          <w:tcPr>
            <w:tcW w:w="918" w:type="dxa"/>
          </w:tcPr>
          <w:p w14:paraId="1FEC8DB5" w14:textId="77777777" w:rsidR="00BF6314" w:rsidRDefault="003E3176">
            <w:pPr>
              <w:pStyle w:val="CellColumn"/>
            </w:pPr>
            <w:r>
              <w:rPr>
                <w:rFonts w:cs="Times New Roman"/>
              </w:rPr>
              <w:t>Broj</w:t>
            </w:r>
          </w:p>
        </w:tc>
        <w:tc>
          <w:tcPr>
            <w:tcW w:w="918" w:type="dxa"/>
          </w:tcPr>
          <w:p w14:paraId="51051F1C" w14:textId="77777777" w:rsidR="00BF6314" w:rsidRDefault="003E3176">
            <w:pPr>
              <w:pStyle w:val="CellColumn"/>
            </w:pPr>
            <w:r>
              <w:rPr>
                <w:rFonts w:cs="Times New Roman"/>
              </w:rPr>
              <w:t>0</w:t>
            </w:r>
          </w:p>
        </w:tc>
        <w:tc>
          <w:tcPr>
            <w:tcW w:w="918" w:type="dxa"/>
          </w:tcPr>
          <w:p w14:paraId="4C876484" w14:textId="77777777" w:rsidR="00BF6314" w:rsidRDefault="003E3176">
            <w:pPr>
              <w:pStyle w:val="CellColumn"/>
            </w:pPr>
            <w:r>
              <w:rPr>
                <w:rFonts w:cs="Times New Roman"/>
              </w:rPr>
              <w:t>DZS</w:t>
            </w:r>
          </w:p>
        </w:tc>
        <w:tc>
          <w:tcPr>
            <w:tcW w:w="918" w:type="dxa"/>
          </w:tcPr>
          <w:p w14:paraId="0127F2A6" w14:textId="77777777" w:rsidR="00BF6314" w:rsidRDefault="003E3176">
            <w:pPr>
              <w:pStyle w:val="CellColumn"/>
            </w:pPr>
            <w:r>
              <w:rPr>
                <w:rFonts w:cs="Times New Roman"/>
              </w:rPr>
              <w:t>1</w:t>
            </w:r>
          </w:p>
        </w:tc>
        <w:tc>
          <w:tcPr>
            <w:tcW w:w="918" w:type="dxa"/>
          </w:tcPr>
          <w:p w14:paraId="749483D9" w14:textId="77777777" w:rsidR="00BF6314" w:rsidRDefault="003E3176">
            <w:pPr>
              <w:pStyle w:val="CellColumn"/>
            </w:pPr>
            <w:r>
              <w:rPr>
                <w:rFonts w:cs="Times New Roman"/>
              </w:rPr>
              <w:t>1</w:t>
            </w:r>
          </w:p>
        </w:tc>
        <w:tc>
          <w:tcPr>
            <w:tcW w:w="918" w:type="dxa"/>
          </w:tcPr>
          <w:p w14:paraId="009308DC" w14:textId="77777777" w:rsidR="00BF6314" w:rsidRDefault="003E3176">
            <w:pPr>
              <w:pStyle w:val="CellColumn"/>
            </w:pPr>
            <w:r>
              <w:rPr>
                <w:rFonts w:cs="Times New Roman"/>
              </w:rPr>
              <w:t>1</w:t>
            </w:r>
          </w:p>
        </w:tc>
      </w:tr>
    </w:tbl>
    <w:p w14:paraId="3812DCE3" w14:textId="77777777" w:rsidR="00BF6314" w:rsidRDefault="00BF6314">
      <w:pPr>
        <w:jc w:val="left"/>
      </w:pPr>
    </w:p>
    <w:p w14:paraId="46B0C46C" w14:textId="77777777" w:rsidR="00BF6314" w:rsidRDefault="003E3176">
      <w:pPr>
        <w:pStyle w:val="Heading4"/>
      </w:pPr>
      <w:r>
        <w:t>K658035 INFORMATIZACIJA ZAVODA</w:t>
      </w:r>
    </w:p>
    <w:p w14:paraId="066C3E33" w14:textId="77777777" w:rsidR="00BF6314" w:rsidRDefault="003E3176">
      <w:pPr>
        <w:pStyle w:val="Heading8"/>
        <w:jc w:val="left"/>
      </w:pPr>
      <w:r>
        <w:t>Zakonske i druge pravne osnove</w:t>
      </w:r>
    </w:p>
    <w:p w14:paraId="019AF1A3" w14:textId="77777777" w:rsidR="00BF6314" w:rsidRDefault="003E3176">
      <w:pPr>
        <w:pStyle w:val="Normal5"/>
      </w:pPr>
      <w:r>
        <w:t xml:space="preserve">Zakon o službenoj statistici   </w:t>
      </w:r>
    </w:p>
    <w:p w14:paraId="3034BC27" w14:textId="77777777" w:rsidR="00BF6314" w:rsidRDefault="003E3176">
      <w:pPr>
        <w:pStyle w:val="Normal5"/>
      </w:pPr>
      <w:r>
        <w:t>Godišnji provedbeni plan statističkih aktivnosti Republike Hrvatske</w:t>
      </w:r>
    </w:p>
    <w:tbl>
      <w:tblPr>
        <w:tblStyle w:val="StilTablice"/>
        <w:tblW w:w="10206" w:type="dxa"/>
        <w:jc w:val="center"/>
        <w:tblLook w:val="04A0" w:firstRow="1" w:lastRow="0" w:firstColumn="1" w:lastColumn="0" w:noHBand="0" w:noVBand="1"/>
      </w:tblPr>
      <w:tblGrid>
        <w:gridCol w:w="1915"/>
        <w:gridCol w:w="1465"/>
        <w:gridCol w:w="1464"/>
        <w:gridCol w:w="1464"/>
        <w:gridCol w:w="1464"/>
        <w:gridCol w:w="1464"/>
        <w:gridCol w:w="970"/>
      </w:tblGrid>
      <w:tr w:rsidR="00BF6314" w14:paraId="40B65AED" w14:textId="77777777">
        <w:trPr>
          <w:jc w:val="center"/>
        </w:trPr>
        <w:tc>
          <w:tcPr>
            <w:tcW w:w="1530" w:type="dxa"/>
            <w:shd w:val="clear" w:color="auto" w:fill="B5C0D8"/>
          </w:tcPr>
          <w:p w14:paraId="7222F803" w14:textId="77777777" w:rsidR="00BF6314" w:rsidRDefault="003E3176">
            <w:pPr>
              <w:pStyle w:val="CellHeader"/>
            </w:pPr>
            <w:r>
              <w:rPr>
                <w:rFonts w:cs="Times New Roman"/>
              </w:rPr>
              <w:t>Naziv aktivnosti</w:t>
            </w:r>
          </w:p>
        </w:tc>
        <w:tc>
          <w:tcPr>
            <w:tcW w:w="1632" w:type="dxa"/>
            <w:shd w:val="clear" w:color="auto" w:fill="B5C0D8"/>
          </w:tcPr>
          <w:p w14:paraId="42917A3F" w14:textId="77777777" w:rsidR="00BF6314" w:rsidRDefault="003E3176">
            <w:pPr>
              <w:pStyle w:val="CellHeader"/>
            </w:pPr>
            <w:r>
              <w:rPr>
                <w:rFonts w:cs="Times New Roman"/>
              </w:rPr>
              <w:t>Izvršenje 2023. (eur)</w:t>
            </w:r>
          </w:p>
        </w:tc>
        <w:tc>
          <w:tcPr>
            <w:tcW w:w="1632" w:type="dxa"/>
            <w:shd w:val="clear" w:color="auto" w:fill="B5C0D8"/>
          </w:tcPr>
          <w:p w14:paraId="620B9B60" w14:textId="77777777" w:rsidR="00BF6314" w:rsidRDefault="003E3176">
            <w:pPr>
              <w:pStyle w:val="CellHeader"/>
            </w:pPr>
            <w:r>
              <w:rPr>
                <w:rFonts w:cs="Times New Roman"/>
              </w:rPr>
              <w:t>Plan 2024. (eur)</w:t>
            </w:r>
          </w:p>
        </w:tc>
        <w:tc>
          <w:tcPr>
            <w:tcW w:w="1632" w:type="dxa"/>
            <w:shd w:val="clear" w:color="auto" w:fill="B5C0D8"/>
          </w:tcPr>
          <w:p w14:paraId="72549F91" w14:textId="77777777" w:rsidR="00BF6314" w:rsidRDefault="003E3176">
            <w:pPr>
              <w:pStyle w:val="CellHeader"/>
            </w:pPr>
            <w:r>
              <w:rPr>
                <w:rFonts w:cs="Times New Roman"/>
              </w:rPr>
              <w:t>Plan 2025. (eur)</w:t>
            </w:r>
          </w:p>
        </w:tc>
        <w:tc>
          <w:tcPr>
            <w:tcW w:w="1632" w:type="dxa"/>
            <w:shd w:val="clear" w:color="auto" w:fill="B5C0D8"/>
          </w:tcPr>
          <w:p w14:paraId="337A7AE2" w14:textId="77777777" w:rsidR="00BF6314" w:rsidRDefault="003E3176">
            <w:pPr>
              <w:pStyle w:val="CellHeader"/>
            </w:pPr>
            <w:r>
              <w:rPr>
                <w:rFonts w:cs="Times New Roman"/>
              </w:rPr>
              <w:t>Plan 2026. (eur)</w:t>
            </w:r>
          </w:p>
        </w:tc>
        <w:tc>
          <w:tcPr>
            <w:tcW w:w="1632" w:type="dxa"/>
            <w:shd w:val="clear" w:color="auto" w:fill="B5C0D8"/>
          </w:tcPr>
          <w:p w14:paraId="7CC8F7A8" w14:textId="77777777" w:rsidR="00BF6314" w:rsidRDefault="003E3176">
            <w:pPr>
              <w:pStyle w:val="CellHeader"/>
            </w:pPr>
            <w:r>
              <w:rPr>
                <w:rFonts w:cs="Times New Roman"/>
              </w:rPr>
              <w:t>Plan 2027. (eur)</w:t>
            </w:r>
          </w:p>
        </w:tc>
        <w:tc>
          <w:tcPr>
            <w:tcW w:w="510" w:type="dxa"/>
            <w:shd w:val="clear" w:color="auto" w:fill="B5C0D8"/>
          </w:tcPr>
          <w:p w14:paraId="44D1D3C7" w14:textId="77777777" w:rsidR="00BF6314" w:rsidRDefault="003E3176">
            <w:pPr>
              <w:pStyle w:val="CellHeader"/>
            </w:pPr>
            <w:r>
              <w:rPr>
                <w:rFonts w:cs="Times New Roman"/>
              </w:rPr>
              <w:t>Indeks 2025/2024</w:t>
            </w:r>
          </w:p>
        </w:tc>
      </w:tr>
      <w:tr w:rsidR="00BF6314" w14:paraId="64B567FB" w14:textId="77777777">
        <w:trPr>
          <w:jc w:val="center"/>
        </w:trPr>
        <w:tc>
          <w:tcPr>
            <w:tcW w:w="1530" w:type="dxa"/>
          </w:tcPr>
          <w:p w14:paraId="2ECB0393" w14:textId="77777777" w:rsidR="00BF6314" w:rsidRDefault="003E3176">
            <w:pPr>
              <w:pStyle w:val="CellColumn"/>
            </w:pPr>
            <w:r>
              <w:rPr>
                <w:rFonts w:cs="Times New Roman"/>
              </w:rPr>
              <w:t>K658035-INFORMATIZACIJA ZAVODA</w:t>
            </w:r>
          </w:p>
        </w:tc>
        <w:tc>
          <w:tcPr>
            <w:tcW w:w="1632" w:type="dxa"/>
          </w:tcPr>
          <w:p w14:paraId="3D54F133" w14:textId="77777777" w:rsidR="00BF6314" w:rsidRDefault="003E3176">
            <w:pPr>
              <w:pStyle w:val="CellColumn"/>
            </w:pPr>
            <w:r>
              <w:rPr>
                <w:rFonts w:cs="Times New Roman"/>
              </w:rPr>
              <w:t>1.457.676</w:t>
            </w:r>
          </w:p>
        </w:tc>
        <w:tc>
          <w:tcPr>
            <w:tcW w:w="1632" w:type="dxa"/>
          </w:tcPr>
          <w:p w14:paraId="7EB60059" w14:textId="77777777" w:rsidR="00BF6314" w:rsidRDefault="003E3176">
            <w:pPr>
              <w:pStyle w:val="CellColumn"/>
            </w:pPr>
            <w:r>
              <w:rPr>
                <w:rFonts w:cs="Times New Roman"/>
              </w:rPr>
              <w:t>1.924.891</w:t>
            </w:r>
          </w:p>
        </w:tc>
        <w:tc>
          <w:tcPr>
            <w:tcW w:w="1632" w:type="dxa"/>
          </w:tcPr>
          <w:p w14:paraId="273859D5" w14:textId="77777777" w:rsidR="00BF6314" w:rsidRDefault="003E3176">
            <w:pPr>
              <w:pStyle w:val="CellColumn"/>
            </w:pPr>
            <w:r>
              <w:rPr>
                <w:rFonts w:cs="Times New Roman"/>
              </w:rPr>
              <w:t>3.555.168</w:t>
            </w:r>
          </w:p>
        </w:tc>
        <w:tc>
          <w:tcPr>
            <w:tcW w:w="1632" w:type="dxa"/>
          </w:tcPr>
          <w:p w14:paraId="37DB11D4" w14:textId="77777777" w:rsidR="00BF6314" w:rsidRDefault="003E3176">
            <w:pPr>
              <w:pStyle w:val="CellColumn"/>
            </w:pPr>
            <w:r>
              <w:rPr>
                <w:rFonts w:cs="Times New Roman"/>
              </w:rPr>
              <w:t>4.591.222</w:t>
            </w:r>
          </w:p>
        </w:tc>
        <w:tc>
          <w:tcPr>
            <w:tcW w:w="1632" w:type="dxa"/>
          </w:tcPr>
          <w:p w14:paraId="6A47B67F" w14:textId="77777777" w:rsidR="00BF6314" w:rsidRDefault="003E3176">
            <w:pPr>
              <w:pStyle w:val="CellColumn"/>
            </w:pPr>
            <w:r>
              <w:rPr>
                <w:rFonts w:cs="Times New Roman"/>
              </w:rPr>
              <w:t>3.272.314</w:t>
            </w:r>
          </w:p>
        </w:tc>
        <w:tc>
          <w:tcPr>
            <w:tcW w:w="510" w:type="dxa"/>
          </w:tcPr>
          <w:p w14:paraId="5C312716" w14:textId="77777777" w:rsidR="00BF6314" w:rsidRDefault="003E3176">
            <w:pPr>
              <w:pStyle w:val="CellColumn"/>
            </w:pPr>
            <w:r>
              <w:rPr>
                <w:rFonts w:cs="Times New Roman"/>
              </w:rPr>
              <w:t>184,7</w:t>
            </w:r>
          </w:p>
        </w:tc>
      </w:tr>
    </w:tbl>
    <w:p w14:paraId="1E630517" w14:textId="77777777" w:rsidR="00BF6314" w:rsidRDefault="00BF6314">
      <w:pPr>
        <w:jc w:val="left"/>
      </w:pPr>
    </w:p>
    <w:p w14:paraId="57C71553" w14:textId="77777777" w:rsidR="00BF6314" w:rsidRDefault="003E3176">
      <w:r>
        <w:t xml:space="preserve">U okviru kapitalnog projekta planirani su materijal i dijelovi za održavanje računala i računalne opreme, zatim usluge tekućeg i investicijskog održavanja aplikacija, sklopovske i programske opreme, informatičke i komunikacijske opreme, zatim usluge najma licenci do godinu dana, računalne i intelektualne usluge. Također, planirani su rashodi za nabavu novih licenci, informatičke i komunikacijske opreme i računalnih programa te rashodi za dodatna ulaganja na informatičkoj opremi i računalnim programima.   </w:t>
      </w:r>
    </w:p>
    <w:p w14:paraId="0B8A066B" w14:textId="77777777" w:rsidR="00BF6314" w:rsidRDefault="003E3176">
      <w:r>
        <w:t xml:space="preserve">Materijalni rashodi planirani su u 2025. u iznosu od 1.920.290  EUR, u 2026. godini u iznosu od 2.241.066 EUR, a u 2027. godini u iznosu od 1.975.958 EUR. Materijalni rashodi se najvećim dijelom odnose na najam licenci do godinu dana u iznosu od 749.370 EUR u 2025. godini, 734.147 EUR u 2026. godini i 729.500 EUR u 2027. godini te na računalne usluge tj. usluge održavanja računalnih programa u iznosu od 856.245 EUR u 2025. godini, 854.669 EUR u 2026. godini i 826.208 EUR u 2027. godini.   </w:t>
      </w:r>
    </w:p>
    <w:p w14:paraId="4924F49D" w14:textId="77777777" w:rsidR="00BF6314" w:rsidRDefault="003E3176">
      <w:r>
        <w:lastRenderedPageBreak/>
        <w:t xml:space="preserve">Rashodi za nabavu neproizvedene dugotrajne imovine planirani su u 2025. u iznosu 13.100 EUR te 2026. i 2027. godini u iznosu od 6.100 EUR godišnje, a odnose se na rashode za nabavu novih licenci.    </w:t>
      </w:r>
    </w:p>
    <w:p w14:paraId="29C8F84A" w14:textId="77777777" w:rsidR="00BF6314" w:rsidRDefault="003E3176">
      <w:r>
        <w:t xml:space="preserve">Rashodi za nabavu proizvedene dugotrajne imovine planirani su u 2025. godini u iznosu od 1.353.500 EUR te 2.072.000 EUR u 2026. godini i 997.000 EUR u 2027. godini, a u najvećem dijelu odnose se na ulaganja u računalne programe.   </w:t>
      </w:r>
    </w:p>
    <w:p w14:paraId="1DE9ECC7" w14:textId="77777777" w:rsidR="00BF6314" w:rsidRDefault="003E3176">
      <w:r>
        <w:t xml:space="preserve">Rashodi za dodatna ulaganja na nefinancijskoj imovini planirani su u iznosu od 268.278 EUR u 2025. godini, zatim 272.056 EUR u 2026. godini i 293.256 EUR u 2027. godini. </w:t>
      </w:r>
    </w:p>
    <w:p w14:paraId="322D431E" w14:textId="77777777" w:rsidR="00BF6314" w:rsidRDefault="003E3176">
      <w:r>
        <w:t>U narednim godinama radi se na mordernizaciji i digitalizaciji obrade, pohrane i zaštite podataka. Paniranim projektima nastoji se novim tehnologijama ubrzati obrada podataka, povećati dostupnost i zaštita podataka, posebno vodeći računa i o stalno prisutnim kibernetičkim prijetnjama.</w:t>
      </w:r>
    </w:p>
    <w:p w14:paraId="0D74B1EA" w14:textId="77777777" w:rsidR="00BF6314" w:rsidRDefault="003E3176">
      <w:pPr>
        <w:pStyle w:val="Heading4"/>
      </w:pPr>
      <w:r>
        <w:t>K658037 ODRŽAVANJE GRAĐEVINSKIH OBJEKATA</w:t>
      </w:r>
    </w:p>
    <w:p w14:paraId="50DA1395" w14:textId="77777777" w:rsidR="00BF6314" w:rsidRDefault="003E3176">
      <w:pPr>
        <w:pStyle w:val="Heading8"/>
        <w:jc w:val="left"/>
      </w:pPr>
      <w:r>
        <w:t>Zakonske i druge pravne osnove</w:t>
      </w:r>
    </w:p>
    <w:p w14:paraId="592E1019" w14:textId="77777777" w:rsidR="00BF6314" w:rsidRDefault="003E3176">
      <w:pPr>
        <w:pStyle w:val="Normal5"/>
      </w:pPr>
      <w:r>
        <w:t xml:space="preserve">Zakon o gradnji  </w:t>
      </w:r>
    </w:p>
    <w:p w14:paraId="572C682C" w14:textId="77777777" w:rsidR="00BF6314" w:rsidRDefault="003E3176">
      <w:pPr>
        <w:pStyle w:val="Normal5"/>
      </w:pPr>
      <w:r>
        <w:t xml:space="preserve">Zakon o prostornom uređenju  </w:t>
      </w:r>
    </w:p>
    <w:p w14:paraId="5DA538B3" w14:textId="77777777" w:rsidR="00BF6314" w:rsidRDefault="003E3176">
      <w:pPr>
        <w:pStyle w:val="Normal5"/>
      </w:pPr>
      <w:r>
        <w:t xml:space="preserve">Zakon o energetskoj učinkovitosti  </w:t>
      </w:r>
    </w:p>
    <w:p w14:paraId="267D0744" w14:textId="77777777" w:rsidR="00BF6314" w:rsidRDefault="003E3176">
      <w:pPr>
        <w:pStyle w:val="Normal5"/>
      </w:pPr>
      <w:r>
        <w:t xml:space="preserve">Zakon o obnovi zgrada oštećenih potresom na području Grada Zagreba, Krapinsko – zagorske  županije, Zagrebačke županije, Sisačko – moslavačke županije i Karlovačke županije   </w:t>
      </w:r>
    </w:p>
    <w:p w14:paraId="258C862F" w14:textId="77777777" w:rsidR="00BF6314" w:rsidRDefault="003E3176">
      <w:pPr>
        <w:pStyle w:val="Normal5"/>
      </w:pPr>
      <w:r>
        <w:t>Zakon o zaštiti na radu</w:t>
      </w:r>
    </w:p>
    <w:tbl>
      <w:tblPr>
        <w:tblStyle w:val="StilTablice"/>
        <w:tblW w:w="10206" w:type="dxa"/>
        <w:jc w:val="center"/>
        <w:tblLook w:val="04A0" w:firstRow="1" w:lastRow="0" w:firstColumn="1" w:lastColumn="0" w:noHBand="0" w:noVBand="1"/>
      </w:tblPr>
      <w:tblGrid>
        <w:gridCol w:w="1626"/>
        <w:gridCol w:w="1528"/>
        <w:gridCol w:w="1491"/>
        <w:gridCol w:w="1504"/>
        <w:gridCol w:w="1550"/>
        <w:gridCol w:w="1537"/>
        <w:gridCol w:w="970"/>
      </w:tblGrid>
      <w:tr w:rsidR="00BF6314" w14:paraId="7991145C" w14:textId="77777777">
        <w:trPr>
          <w:jc w:val="center"/>
        </w:trPr>
        <w:tc>
          <w:tcPr>
            <w:tcW w:w="1530" w:type="dxa"/>
            <w:shd w:val="clear" w:color="auto" w:fill="B5C0D8"/>
          </w:tcPr>
          <w:p w14:paraId="1B0481AF" w14:textId="77777777" w:rsidR="00BF6314" w:rsidRDefault="003E3176">
            <w:pPr>
              <w:pStyle w:val="CellHeader"/>
            </w:pPr>
            <w:r>
              <w:rPr>
                <w:rFonts w:cs="Times New Roman"/>
              </w:rPr>
              <w:t>Naziv aktivnosti</w:t>
            </w:r>
          </w:p>
        </w:tc>
        <w:tc>
          <w:tcPr>
            <w:tcW w:w="1632" w:type="dxa"/>
            <w:shd w:val="clear" w:color="auto" w:fill="B5C0D8"/>
          </w:tcPr>
          <w:p w14:paraId="16EFCA6D" w14:textId="77777777" w:rsidR="00BF6314" w:rsidRDefault="003E3176">
            <w:pPr>
              <w:pStyle w:val="CellHeader"/>
            </w:pPr>
            <w:r>
              <w:rPr>
                <w:rFonts w:cs="Times New Roman"/>
              </w:rPr>
              <w:t>Izvršenje 2023. (eur)</w:t>
            </w:r>
          </w:p>
        </w:tc>
        <w:tc>
          <w:tcPr>
            <w:tcW w:w="1632" w:type="dxa"/>
            <w:shd w:val="clear" w:color="auto" w:fill="B5C0D8"/>
          </w:tcPr>
          <w:p w14:paraId="083585C0" w14:textId="77777777" w:rsidR="00BF6314" w:rsidRDefault="003E3176">
            <w:pPr>
              <w:pStyle w:val="CellHeader"/>
            </w:pPr>
            <w:r>
              <w:rPr>
                <w:rFonts w:cs="Times New Roman"/>
              </w:rPr>
              <w:t>Plan 2024. (eur)</w:t>
            </w:r>
          </w:p>
        </w:tc>
        <w:tc>
          <w:tcPr>
            <w:tcW w:w="1632" w:type="dxa"/>
            <w:shd w:val="clear" w:color="auto" w:fill="B5C0D8"/>
          </w:tcPr>
          <w:p w14:paraId="0858DB8A" w14:textId="77777777" w:rsidR="00BF6314" w:rsidRDefault="003E3176">
            <w:pPr>
              <w:pStyle w:val="CellHeader"/>
            </w:pPr>
            <w:r>
              <w:rPr>
                <w:rFonts w:cs="Times New Roman"/>
              </w:rPr>
              <w:t>Plan 2025. (eur)</w:t>
            </w:r>
          </w:p>
        </w:tc>
        <w:tc>
          <w:tcPr>
            <w:tcW w:w="1632" w:type="dxa"/>
            <w:shd w:val="clear" w:color="auto" w:fill="B5C0D8"/>
          </w:tcPr>
          <w:p w14:paraId="53EAE6DE" w14:textId="77777777" w:rsidR="00BF6314" w:rsidRDefault="003E3176">
            <w:pPr>
              <w:pStyle w:val="CellHeader"/>
            </w:pPr>
            <w:r>
              <w:rPr>
                <w:rFonts w:cs="Times New Roman"/>
              </w:rPr>
              <w:t>Plan 2026. (eur)</w:t>
            </w:r>
          </w:p>
        </w:tc>
        <w:tc>
          <w:tcPr>
            <w:tcW w:w="1632" w:type="dxa"/>
            <w:shd w:val="clear" w:color="auto" w:fill="B5C0D8"/>
          </w:tcPr>
          <w:p w14:paraId="75A7B327" w14:textId="77777777" w:rsidR="00BF6314" w:rsidRDefault="003E3176">
            <w:pPr>
              <w:pStyle w:val="CellHeader"/>
            </w:pPr>
            <w:r>
              <w:rPr>
                <w:rFonts w:cs="Times New Roman"/>
              </w:rPr>
              <w:t>Plan 2027. (eur)</w:t>
            </w:r>
          </w:p>
        </w:tc>
        <w:tc>
          <w:tcPr>
            <w:tcW w:w="510" w:type="dxa"/>
            <w:shd w:val="clear" w:color="auto" w:fill="B5C0D8"/>
          </w:tcPr>
          <w:p w14:paraId="3D90DD93" w14:textId="77777777" w:rsidR="00BF6314" w:rsidRDefault="003E3176">
            <w:pPr>
              <w:pStyle w:val="CellHeader"/>
            </w:pPr>
            <w:r>
              <w:rPr>
                <w:rFonts w:cs="Times New Roman"/>
              </w:rPr>
              <w:t>Indeks 2025/2024</w:t>
            </w:r>
          </w:p>
        </w:tc>
      </w:tr>
      <w:tr w:rsidR="00BF6314" w14:paraId="3BBC08C3" w14:textId="77777777">
        <w:trPr>
          <w:jc w:val="center"/>
        </w:trPr>
        <w:tc>
          <w:tcPr>
            <w:tcW w:w="1530" w:type="dxa"/>
          </w:tcPr>
          <w:p w14:paraId="4DC703F5" w14:textId="77777777" w:rsidR="00BF6314" w:rsidRDefault="003E3176">
            <w:pPr>
              <w:pStyle w:val="CellColumn"/>
            </w:pPr>
            <w:r>
              <w:rPr>
                <w:rFonts w:cs="Times New Roman"/>
              </w:rPr>
              <w:t>K658037-ODRŽAVANJE GRAĐEVINSKIH OBJEKATA</w:t>
            </w:r>
          </w:p>
        </w:tc>
        <w:tc>
          <w:tcPr>
            <w:tcW w:w="1632" w:type="dxa"/>
          </w:tcPr>
          <w:p w14:paraId="66EFB5A1" w14:textId="77777777" w:rsidR="00BF6314" w:rsidRDefault="003E3176">
            <w:pPr>
              <w:pStyle w:val="CellColumn"/>
            </w:pPr>
            <w:r>
              <w:rPr>
                <w:rFonts w:cs="Times New Roman"/>
              </w:rPr>
              <w:t>00</w:t>
            </w:r>
          </w:p>
        </w:tc>
        <w:tc>
          <w:tcPr>
            <w:tcW w:w="1632" w:type="dxa"/>
          </w:tcPr>
          <w:p w14:paraId="1517C359" w14:textId="77777777" w:rsidR="00BF6314" w:rsidRDefault="003E3176">
            <w:pPr>
              <w:pStyle w:val="CellColumn"/>
            </w:pPr>
            <w:r>
              <w:rPr>
                <w:rFonts w:cs="Times New Roman"/>
              </w:rPr>
              <w:t>00</w:t>
            </w:r>
          </w:p>
        </w:tc>
        <w:tc>
          <w:tcPr>
            <w:tcW w:w="1632" w:type="dxa"/>
          </w:tcPr>
          <w:p w14:paraId="4BADE959" w14:textId="77777777" w:rsidR="00BF6314" w:rsidRDefault="003E3176">
            <w:pPr>
              <w:pStyle w:val="CellColumn"/>
            </w:pPr>
            <w:r>
              <w:rPr>
                <w:rFonts w:cs="Times New Roman"/>
              </w:rPr>
              <w:t>68.500</w:t>
            </w:r>
          </w:p>
        </w:tc>
        <w:tc>
          <w:tcPr>
            <w:tcW w:w="1632" w:type="dxa"/>
          </w:tcPr>
          <w:p w14:paraId="69DDE820" w14:textId="77777777" w:rsidR="00BF6314" w:rsidRDefault="003E3176">
            <w:pPr>
              <w:pStyle w:val="CellColumn"/>
            </w:pPr>
            <w:r>
              <w:rPr>
                <w:rFonts w:cs="Times New Roman"/>
              </w:rPr>
              <w:t>11.542.218</w:t>
            </w:r>
          </w:p>
        </w:tc>
        <w:tc>
          <w:tcPr>
            <w:tcW w:w="1632" w:type="dxa"/>
          </w:tcPr>
          <w:p w14:paraId="011F09F1" w14:textId="77777777" w:rsidR="00BF6314" w:rsidRDefault="003E3176">
            <w:pPr>
              <w:pStyle w:val="CellColumn"/>
            </w:pPr>
            <w:r>
              <w:rPr>
                <w:rFonts w:cs="Times New Roman"/>
              </w:rPr>
              <w:t>1.435.000</w:t>
            </w:r>
          </w:p>
        </w:tc>
        <w:tc>
          <w:tcPr>
            <w:tcW w:w="510" w:type="dxa"/>
          </w:tcPr>
          <w:p w14:paraId="1ECD0EC3" w14:textId="77777777" w:rsidR="00BF6314" w:rsidRDefault="003E3176">
            <w:pPr>
              <w:pStyle w:val="CellColumn"/>
            </w:pPr>
            <w:r>
              <w:rPr>
                <w:rFonts w:cs="Times New Roman"/>
              </w:rPr>
              <w:t>0,0</w:t>
            </w:r>
          </w:p>
        </w:tc>
      </w:tr>
    </w:tbl>
    <w:p w14:paraId="37A8EF7A" w14:textId="77777777" w:rsidR="00BF6314" w:rsidRDefault="00BF6314">
      <w:pPr>
        <w:jc w:val="left"/>
      </w:pPr>
    </w:p>
    <w:p w14:paraId="66F7FA2D" w14:textId="77777777" w:rsidR="00BF6314" w:rsidRDefault="003E3176">
      <w:r>
        <w:t xml:space="preserve">U okviru kapitalnog projekta planirana su sredstva za uređenje poslovnog prostora Zavoda, u Zagrebu, Ilica 3 i Frana Petrića 2, povezano s konstrukcijskom obnovom od potresa koju provodi Ministarstvo prostornog uređenja, graditeljstva i državne imovine i potrebnim funkcionalnim poboljšanjima postojećeg prostora i opreme te sredstva za sufinanciranje izvođenja radova energetske obnove poslovnih dvorišnih zgrada Zavoda, u Zagrebu, Branimirova 19-21.  </w:t>
      </w:r>
    </w:p>
    <w:p w14:paraId="52458EE7" w14:textId="77777777" w:rsidR="00BF6314" w:rsidRDefault="003E3176">
      <w:r>
        <w:t xml:space="preserve">Na skupni rashoda 32 Materijalni rashodi planirana planirana su sredstva u 2025. godini u iznosu od 68.500  EUR, u 2026. godini u iznosu od 24.000 EUR, a u 2027. godini u iznosu od 15.000 EUR. </w:t>
      </w:r>
    </w:p>
    <w:p w14:paraId="518805BD" w14:textId="77777777" w:rsidR="00BF6314" w:rsidRDefault="003E3176">
      <w:r>
        <w:t xml:space="preserve">Na skupini rashoda 45 Rashodi za dodatna ulaganja na nefinancijskoj imovini planirana planirana su sredstva u 2026. godini u iznosu od 11.518.218  EUR te u 2027. godini u iznosu od 1.420.000 EUR. </w:t>
      </w:r>
    </w:p>
    <w:p w14:paraId="6A510AFC" w14:textId="77777777" w:rsidR="00BF6314" w:rsidRDefault="003E3176">
      <w:r>
        <w:t xml:space="preserve"> </w:t>
      </w:r>
    </w:p>
    <w:p w14:paraId="421F51E5" w14:textId="77777777" w:rsidR="00BF6314" w:rsidRDefault="003E3176">
      <w:r>
        <w:t xml:space="preserve">U sljedećem proračunskom ciklusu Zavod planira izvođenje radova na uređenju poslovnog prostora kojeg koristi u zgradi u Zagrebu na adresi Ilica 3 i Frana Petrića 2 prema izvedbenoj dokumentaciji koja se planira izraditi u 2025. godini. Radi se prostoru smještenom u zgradama u središtu Grada Zagreba, na uglu ulice Ilica 3 i Frana Petrića 2, koje predstavljaju jedinstvenu konstrukcijsku cjelinu. Zgrade su u značajnoj mjeri oštećene u potresu koji se dogodio 20.03.2020. te su iste predmet obnove temeljem Zakona o obnovi zgrada oštećenih potresom na području Grada Zagreba, Krapinsko-zagorske županije, Zagrebačke županije, Sisačko-moslavačke županije i Karlovačke županije (NN, broj 21/23), koju provodi Ministarstvo prostornog uređenja, graditeljstva i državne imovine (dalje u tekstu: Ministarstvo), prema rješenju Ministarstva od 26. travnja 2023. godine. Predmetnim rješenjem određen je popravak konstrukcije stambeno-poslovne zgrade u Zagrebu, Ilica3/Frana Petrića 2 te je nadležno Ministarstvo pokrenulo postupak za izbor izvođača radova i drugih sudionika u obnovi.  </w:t>
      </w:r>
    </w:p>
    <w:p w14:paraId="46958AB1" w14:textId="77777777" w:rsidR="00BF6314" w:rsidRDefault="003E3176">
      <w:r>
        <w:t xml:space="preserve"> </w:t>
      </w:r>
    </w:p>
    <w:p w14:paraId="71F69398" w14:textId="77777777" w:rsidR="00BF6314" w:rsidRDefault="003E3176">
      <w:r>
        <w:t xml:space="preserve">Planirana sredstva odnose se na radove na uređenju poslovnog prostora Zavoda koji nisu prihvatljivi u okviru postupka obnove koju provodi Ministarstvo, a koja je neophodno izvesti kako bi se prostor uredio i doveo u stanje </w:t>
      </w:r>
      <w:r>
        <w:lastRenderedPageBreak/>
        <w:t xml:space="preserve">uređenosti koje je prikladno za obavljanje djelatnosti Zavoda. Osim ovih radova, ovim sredstvima planira se i preuređenje prostora u prizemlju zgrade u Ilici 3, koji je korišten kao tiskara. S obzirom na tehnološka dostignuća u toj industriji i sve manju potrebu za tiskanjem statističkih obrazaca, radi prebacivanja procesa prikupljanja podataka putem web obrazaca, kapacitet tiskarskih uređaja u objektu Zavoda u Branimirovoj 19-21 se ukazuje dostatnim, te bi prostor koji je korišten za tiskaru u Ilici 3 bio preuređen prema idejnom projektu koji se planira izraditi u 2025. godini. Nadalje, planiranim sredstvima planira se i izvođenje radova na odvajanju instalacija grijanja poslovnih prostora Zavoda od kotlovnice koju koristi zajednički s privatnim stanarima u toj zgradi, koja okolnost onemogućava nabavu usluge opskrbe plinom putem središnje javne nabave.  </w:t>
      </w:r>
    </w:p>
    <w:p w14:paraId="1B89329F" w14:textId="77777777" w:rsidR="00BF6314" w:rsidRDefault="003E3176">
      <w:r>
        <w:t xml:space="preserve"> </w:t>
      </w:r>
    </w:p>
    <w:p w14:paraId="7967AFBC" w14:textId="77777777" w:rsidR="00BF6314" w:rsidRDefault="003E3176">
      <w:r>
        <w:t xml:space="preserve">Za nabavu projektne i tehničke dokumentacije te savjetodavne usluge za provođenje postupka javne nabave i praćenje izvršenja ugovora o javnoj nabavi na skupini rashoda 32 planirana su sredstva u 2025. godini u ukupnom iznosu 56.000 EUR, dok je u 2026. i 2027. planirano 15.000 EUR godišnje za savjetodavne usluge za provođenje postupka javne nabave i praćenje izvršenja ugovora o javnoj nabavi. </w:t>
      </w:r>
    </w:p>
    <w:p w14:paraId="19CDC56C" w14:textId="77777777" w:rsidR="00BF6314" w:rsidRDefault="003E3176">
      <w:r>
        <w:t xml:space="preserve">Za izvođenje predmetnih radova zajedno s rashodima za projektantski, stručni i obračunski nadzor izvođenja radova, na skupini rashoda 45 planirana su sredstva u 2026. godini u ukupnom iznosu 10.912.500 EUR te u 2027. godini u ukupnom iznosu 1.420.000 EUR. Zavod će zatražiti suglasnost za preuzimanje obveza po ugovorima koji zahtijevaju plaćanje u sljedećim godinama sukladno važećim  propisima. </w:t>
      </w:r>
    </w:p>
    <w:p w14:paraId="061B791C" w14:textId="77777777" w:rsidR="00BF6314" w:rsidRDefault="003E3176">
      <w:r>
        <w:t xml:space="preserve"> </w:t>
      </w:r>
    </w:p>
    <w:p w14:paraId="6701D57A" w14:textId="77777777" w:rsidR="00BF6314" w:rsidRDefault="003E3176">
      <w:r>
        <w:t xml:space="preserve">Nadalje, u sljedećem proračunskom ciklusu planirana su sredstva za sufinanciranje izvođenja radova energetske obnove poslovnih dvorišnih zgrada Zavoda, u Zagrebu, Branimirova 19-21, prema izrađenoj projektnoj dokumentaciji.  </w:t>
      </w:r>
    </w:p>
    <w:p w14:paraId="4C678CE6" w14:textId="77777777" w:rsidR="00BF6314" w:rsidRDefault="003E3176">
      <w:r>
        <w:t xml:space="preserve">Za nabavu usluge prijave i praćenja izvršavanja radova energetske obnove te za nabavu savjetodavne usluge za provođenje postupka javne nabave i praćenje izvršenja ugovora o javnoj nabavi na skupini rashoda 32 planirana su sredstva u 2025. godini u iznosu 12.500  EUR, dok je u 2025. godini planirano 9.000 EUR. </w:t>
      </w:r>
    </w:p>
    <w:p w14:paraId="3B953CC1" w14:textId="77777777" w:rsidR="00BF6314" w:rsidRDefault="003E3176">
      <w:r>
        <w:t>Za izvođenje radova energetske obnove poslovnih dvorišnih zgrada zajedno s rashodima za projektantski, stručni i obračunski nadzor izvođenja radova, na skupini rashoda 45 planirana su sredstva u 2026. godini u ukupnom  iznosu 605.718 EUR.</w:t>
      </w:r>
    </w:p>
    <w:p w14:paraId="674892D9" w14:textId="77777777" w:rsidR="00BF6314" w:rsidRDefault="003E3176">
      <w:pPr>
        <w:pStyle w:val="Heading4"/>
      </w:pPr>
      <w:r>
        <w:t>K658094 OBNOVA VOZNOG PARKA</w:t>
      </w:r>
    </w:p>
    <w:p w14:paraId="66368DC2" w14:textId="77777777" w:rsidR="00BF6314" w:rsidRDefault="003E3176">
      <w:pPr>
        <w:pStyle w:val="Heading8"/>
        <w:jc w:val="left"/>
      </w:pPr>
      <w:r>
        <w:t>Zakonske i druge pravne osnove</w:t>
      </w:r>
    </w:p>
    <w:p w14:paraId="55E94024" w14:textId="77777777" w:rsidR="00BF6314" w:rsidRDefault="003E3176">
      <w:pPr>
        <w:pStyle w:val="Normal5"/>
      </w:pPr>
      <w:r>
        <w:t xml:space="preserve">Smjernice za upravljanje voznim parkom </w:t>
      </w:r>
    </w:p>
    <w:p w14:paraId="704E77CC" w14:textId="77777777" w:rsidR="00BF6314" w:rsidRDefault="003E3176">
      <w:pPr>
        <w:pStyle w:val="Normal5"/>
      </w:pPr>
      <w:r>
        <w:t>Odluka Vlade RH o uvjetima korištenja službenih automobila, mobilnih telefona, redovnih zrakoplovnih linija, poslovnih kreditnih kartica, sredstava reprezentacije te načinu odobravanja službenih putovanja</w:t>
      </w:r>
    </w:p>
    <w:tbl>
      <w:tblPr>
        <w:tblStyle w:val="StilTablice"/>
        <w:tblW w:w="10206" w:type="dxa"/>
        <w:jc w:val="center"/>
        <w:tblLook w:val="04A0" w:firstRow="1" w:lastRow="0" w:firstColumn="1" w:lastColumn="0" w:noHBand="0" w:noVBand="1"/>
      </w:tblPr>
      <w:tblGrid>
        <w:gridCol w:w="1485"/>
        <w:gridCol w:w="1567"/>
        <w:gridCol w:w="1544"/>
        <w:gridCol w:w="1544"/>
        <w:gridCol w:w="1552"/>
        <w:gridCol w:w="1544"/>
        <w:gridCol w:w="970"/>
      </w:tblGrid>
      <w:tr w:rsidR="00BF6314" w14:paraId="4FCD57BA" w14:textId="77777777">
        <w:trPr>
          <w:jc w:val="center"/>
        </w:trPr>
        <w:tc>
          <w:tcPr>
            <w:tcW w:w="1530" w:type="dxa"/>
            <w:shd w:val="clear" w:color="auto" w:fill="B5C0D8"/>
          </w:tcPr>
          <w:p w14:paraId="0D56BB55" w14:textId="77777777" w:rsidR="00BF6314" w:rsidRDefault="003E3176">
            <w:pPr>
              <w:pStyle w:val="CellHeader"/>
            </w:pPr>
            <w:r>
              <w:rPr>
                <w:rFonts w:cs="Times New Roman"/>
              </w:rPr>
              <w:t>Naziv aktivnosti</w:t>
            </w:r>
          </w:p>
        </w:tc>
        <w:tc>
          <w:tcPr>
            <w:tcW w:w="1632" w:type="dxa"/>
            <w:shd w:val="clear" w:color="auto" w:fill="B5C0D8"/>
          </w:tcPr>
          <w:p w14:paraId="535D66D9" w14:textId="77777777" w:rsidR="00BF6314" w:rsidRDefault="003E3176">
            <w:pPr>
              <w:pStyle w:val="CellHeader"/>
            </w:pPr>
            <w:r>
              <w:rPr>
                <w:rFonts w:cs="Times New Roman"/>
              </w:rPr>
              <w:t>Izvršenje 2023. (eur)</w:t>
            </w:r>
          </w:p>
        </w:tc>
        <w:tc>
          <w:tcPr>
            <w:tcW w:w="1632" w:type="dxa"/>
            <w:shd w:val="clear" w:color="auto" w:fill="B5C0D8"/>
          </w:tcPr>
          <w:p w14:paraId="413F6ACC" w14:textId="77777777" w:rsidR="00BF6314" w:rsidRDefault="003E3176">
            <w:pPr>
              <w:pStyle w:val="CellHeader"/>
            </w:pPr>
            <w:r>
              <w:rPr>
                <w:rFonts w:cs="Times New Roman"/>
              </w:rPr>
              <w:t>Plan 2024. (eur)</w:t>
            </w:r>
          </w:p>
        </w:tc>
        <w:tc>
          <w:tcPr>
            <w:tcW w:w="1632" w:type="dxa"/>
            <w:shd w:val="clear" w:color="auto" w:fill="B5C0D8"/>
          </w:tcPr>
          <w:p w14:paraId="38F0F764" w14:textId="77777777" w:rsidR="00BF6314" w:rsidRDefault="003E3176">
            <w:pPr>
              <w:pStyle w:val="CellHeader"/>
            </w:pPr>
            <w:r>
              <w:rPr>
                <w:rFonts w:cs="Times New Roman"/>
              </w:rPr>
              <w:t>Plan 2025. (eur)</w:t>
            </w:r>
          </w:p>
        </w:tc>
        <w:tc>
          <w:tcPr>
            <w:tcW w:w="1632" w:type="dxa"/>
            <w:shd w:val="clear" w:color="auto" w:fill="B5C0D8"/>
          </w:tcPr>
          <w:p w14:paraId="0F4F84A8" w14:textId="77777777" w:rsidR="00BF6314" w:rsidRDefault="003E3176">
            <w:pPr>
              <w:pStyle w:val="CellHeader"/>
            </w:pPr>
            <w:r>
              <w:rPr>
                <w:rFonts w:cs="Times New Roman"/>
              </w:rPr>
              <w:t>Plan 2026. (eur)</w:t>
            </w:r>
          </w:p>
        </w:tc>
        <w:tc>
          <w:tcPr>
            <w:tcW w:w="1632" w:type="dxa"/>
            <w:shd w:val="clear" w:color="auto" w:fill="B5C0D8"/>
          </w:tcPr>
          <w:p w14:paraId="78A0E5E3" w14:textId="77777777" w:rsidR="00BF6314" w:rsidRDefault="003E3176">
            <w:pPr>
              <w:pStyle w:val="CellHeader"/>
            </w:pPr>
            <w:r>
              <w:rPr>
                <w:rFonts w:cs="Times New Roman"/>
              </w:rPr>
              <w:t>Plan 2027. (eur)</w:t>
            </w:r>
          </w:p>
        </w:tc>
        <w:tc>
          <w:tcPr>
            <w:tcW w:w="510" w:type="dxa"/>
            <w:shd w:val="clear" w:color="auto" w:fill="B5C0D8"/>
          </w:tcPr>
          <w:p w14:paraId="4FA032E5" w14:textId="77777777" w:rsidR="00BF6314" w:rsidRDefault="003E3176">
            <w:pPr>
              <w:pStyle w:val="CellHeader"/>
            </w:pPr>
            <w:r>
              <w:rPr>
                <w:rFonts w:cs="Times New Roman"/>
              </w:rPr>
              <w:t>Indeks 2025/2024</w:t>
            </w:r>
          </w:p>
        </w:tc>
      </w:tr>
      <w:tr w:rsidR="00BF6314" w14:paraId="52C44F2D" w14:textId="77777777">
        <w:trPr>
          <w:jc w:val="center"/>
        </w:trPr>
        <w:tc>
          <w:tcPr>
            <w:tcW w:w="1530" w:type="dxa"/>
          </w:tcPr>
          <w:p w14:paraId="13AB60ED" w14:textId="77777777" w:rsidR="00BF6314" w:rsidRDefault="003E3176">
            <w:pPr>
              <w:pStyle w:val="CellColumn"/>
            </w:pPr>
            <w:r>
              <w:rPr>
                <w:rFonts w:cs="Times New Roman"/>
              </w:rPr>
              <w:t>K658094-OBNOVA VOZNOG PARKA</w:t>
            </w:r>
          </w:p>
        </w:tc>
        <w:tc>
          <w:tcPr>
            <w:tcW w:w="1632" w:type="dxa"/>
          </w:tcPr>
          <w:p w14:paraId="30B21C38" w14:textId="77777777" w:rsidR="00BF6314" w:rsidRDefault="003E3176">
            <w:pPr>
              <w:pStyle w:val="CellColumn"/>
            </w:pPr>
            <w:r>
              <w:rPr>
                <w:rFonts w:cs="Times New Roman"/>
              </w:rPr>
              <w:t>00</w:t>
            </w:r>
          </w:p>
        </w:tc>
        <w:tc>
          <w:tcPr>
            <w:tcW w:w="1632" w:type="dxa"/>
          </w:tcPr>
          <w:p w14:paraId="3BF16C0E" w14:textId="77777777" w:rsidR="00BF6314" w:rsidRDefault="003E3176">
            <w:pPr>
              <w:pStyle w:val="CellColumn"/>
            </w:pPr>
            <w:r>
              <w:rPr>
                <w:rFonts w:cs="Times New Roman"/>
              </w:rPr>
              <w:t>00</w:t>
            </w:r>
          </w:p>
        </w:tc>
        <w:tc>
          <w:tcPr>
            <w:tcW w:w="1632" w:type="dxa"/>
          </w:tcPr>
          <w:p w14:paraId="37CB3B84" w14:textId="77777777" w:rsidR="00BF6314" w:rsidRDefault="003E3176">
            <w:pPr>
              <w:pStyle w:val="CellColumn"/>
            </w:pPr>
            <w:r>
              <w:rPr>
                <w:rFonts w:cs="Times New Roman"/>
              </w:rPr>
              <w:t>00</w:t>
            </w:r>
          </w:p>
        </w:tc>
        <w:tc>
          <w:tcPr>
            <w:tcW w:w="1632" w:type="dxa"/>
          </w:tcPr>
          <w:p w14:paraId="0AB6F60C" w14:textId="77777777" w:rsidR="00BF6314" w:rsidRDefault="003E3176">
            <w:pPr>
              <w:pStyle w:val="CellColumn"/>
            </w:pPr>
            <w:r>
              <w:rPr>
                <w:rFonts w:cs="Times New Roman"/>
              </w:rPr>
              <w:t>27.500</w:t>
            </w:r>
          </w:p>
        </w:tc>
        <w:tc>
          <w:tcPr>
            <w:tcW w:w="1632" w:type="dxa"/>
          </w:tcPr>
          <w:p w14:paraId="2809DB97" w14:textId="77777777" w:rsidR="00BF6314" w:rsidRDefault="003E3176">
            <w:pPr>
              <w:pStyle w:val="CellColumn"/>
            </w:pPr>
            <w:r>
              <w:rPr>
                <w:rFonts w:cs="Times New Roman"/>
              </w:rPr>
              <w:t>00</w:t>
            </w:r>
          </w:p>
        </w:tc>
        <w:tc>
          <w:tcPr>
            <w:tcW w:w="510" w:type="dxa"/>
          </w:tcPr>
          <w:p w14:paraId="1D39F04C" w14:textId="77777777" w:rsidR="00BF6314" w:rsidRDefault="003E3176">
            <w:pPr>
              <w:pStyle w:val="CellColumn"/>
            </w:pPr>
            <w:r>
              <w:rPr>
                <w:rFonts w:cs="Times New Roman"/>
              </w:rPr>
              <w:t>0,0</w:t>
            </w:r>
          </w:p>
        </w:tc>
      </w:tr>
    </w:tbl>
    <w:p w14:paraId="501E5AB2" w14:textId="77777777" w:rsidR="00BF6314" w:rsidRDefault="00BF6314">
      <w:pPr>
        <w:jc w:val="left"/>
      </w:pPr>
    </w:p>
    <w:p w14:paraId="378A4757" w14:textId="77777777" w:rsidR="00BF6314" w:rsidRDefault="003E3176">
      <w:r>
        <w:t xml:space="preserve">U 2026. godini na rashodima za nabavu proizvedene dugatrajne imovine planirana su sredstva za kupnju službenog vozila. </w:t>
      </w:r>
    </w:p>
    <w:p w14:paraId="4EDFA4EE" w14:textId="77777777" w:rsidR="00BF6314" w:rsidRDefault="003E3176">
      <w:r>
        <w:t>Nabava vozila planirana je u skladu sa Smjernicama za upravljanje voznim parkom iz ožujka 2017. godine. Vozilo se nabavlja zbog dotrajalosti postojećeg vozila u vlasništvu Zavoda što iziskuje visoke izdatke održavanja odnosno neisplativost popravaka, stoga se nabavom novog vozila očekuje smanjenje prekomjernih troškova održavanja i popravaka.</w:t>
      </w:r>
    </w:p>
    <w:p w14:paraId="74C70D82" w14:textId="77777777" w:rsidR="00BF6314" w:rsidRDefault="003E3176">
      <w:pPr>
        <w:pStyle w:val="Heading4"/>
      </w:pPr>
      <w:r>
        <w:t>K658157 PROGRAM KONKURENTNOST I KOHEZIJA 2021.-2027</w:t>
      </w:r>
    </w:p>
    <w:p w14:paraId="135E2645" w14:textId="77777777" w:rsidR="00BF6314" w:rsidRDefault="003E3176">
      <w:pPr>
        <w:pStyle w:val="Heading8"/>
        <w:jc w:val="left"/>
      </w:pPr>
      <w:r>
        <w:t>Zakonske i druge pravne osnove</w:t>
      </w:r>
    </w:p>
    <w:p w14:paraId="1DEEEA3A" w14:textId="77777777" w:rsidR="00BF6314" w:rsidRDefault="003E3176">
      <w:pPr>
        <w:pStyle w:val="Normal5"/>
      </w:pPr>
      <w:r>
        <w:t xml:space="preserve">Zakon o službenoj statistici    </w:t>
      </w:r>
    </w:p>
    <w:p w14:paraId="719C7FA5" w14:textId="77777777" w:rsidR="00BF6314" w:rsidRDefault="003E3176">
      <w:pPr>
        <w:pStyle w:val="Normal5"/>
      </w:pPr>
      <w:r>
        <w:lastRenderedPageBreak/>
        <w:t xml:space="preserve">Godišnji provedbeni plan statističkih aktivnosti Republike Hrvatske  </w:t>
      </w:r>
    </w:p>
    <w:p w14:paraId="1BD9CF36" w14:textId="77777777" w:rsidR="00BF6314" w:rsidRDefault="003E3176">
      <w:pPr>
        <w:pStyle w:val="Normal5"/>
      </w:pPr>
      <w:r>
        <w:t>Opertivni program Konkurentnost i kohezija 2021.-2027. (PKK 2021.-2027.)</w:t>
      </w:r>
    </w:p>
    <w:tbl>
      <w:tblPr>
        <w:tblStyle w:val="StilTablice"/>
        <w:tblW w:w="10206" w:type="dxa"/>
        <w:jc w:val="center"/>
        <w:tblLook w:val="04A0" w:firstRow="1" w:lastRow="0" w:firstColumn="1" w:lastColumn="0" w:noHBand="0" w:noVBand="1"/>
      </w:tblPr>
      <w:tblGrid>
        <w:gridCol w:w="1882"/>
        <w:gridCol w:w="1490"/>
        <w:gridCol w:w="1439"/>
        <w:gridCol w:w="1475"/>
        <w:gridCol w:w="1475"/>
        <w:gridCol w:w="1475"/>
        <w:gridCol w:w="970"/>
      </w:tblGrid>
      <w:tr w:rsidR="00BF6314" w14:paraId="3913C739" w14:textId="77777777">
        <w:trPr>
          <w:jc w:val="center"/>
        </w:trPr>
        <w:tc>
          <w:tcPr>
            <w:tcW w:w="1530" w:type="dxa"/>
            <w:shd w:val="clear" w:color="auto" w:fill="B5C0D8"/>
          </w:tcPr>
          <w:p w14:paraId="0DEEFE3F" w14:textId="77777777" w:rsidR="00BF6314" w:rsidRDefault="003E3176">
            <w:pPr>
              <w:pStyle w:val="CellHeader"/>
            </w:pPr>
            <w:r>
              <w:rPr>
                <w:rFonts w:cs="Times New Roman"/>
              </w:rPr>
              <w:t>Naziv aktivnosti</w:t>
            </w:r>
          </w:p>
        </w:tc>
        <w:tc>
          <w:tcPr>
            <w:tcW w:w="1632" w:type="dxa"/>
            <w:shd w:val="clear" w:color="auto" w:fill="B5C0D8"/>
          </w:tcPr>
          <w:p w14:paraId="249C7022" w14:textId="77777777" w:rsidR="00BF6314" w:rsidRDefault="003E3176">
            <w:pPr>
              <w:pStyle w:val="CellHeader"/>
            </w:pPr>
            <w:r>
              <w:rPr>
                <w:rFonts w:cs="Times New Roman"/>
              </w:rPr>
              <w:t>Izvršenje 2023. (eur)</w:t>
            </w:r>
          </w:p>
        </w:tc>
        <w:tc>
          <w:tcPr>
            <w:tcW w:w="1632" w:type="dxa"/>
            <w:shd w:val="clear" w:color="auto" w:fill="B5C0D8"/>
          </w:tcPr>
          <w:p w14:paraId="20869980" w14:textId="77777777" w:rsidR="00BF6314" w:rsidRDefault="003E3176">
            <w:pPr>
              <w:pStyle w:val="CellHeader"/>
            </w:pPr>
            <w:r>
              <w:rPr>
                <w:rFonts w:cs="Times New Roman"/>
              </w:rPr>
              <w:t>Plan 2024. (eur)</w:t>
            </w:r>
          </w:p>
        </w:tc>
        <w:tc>
          <w:tcPr>
            <w:tcW w:w="1632" w:type="dxa"/>
            <w:shd w:val="clear" w:color="auto" w:fill="B5C0D8"/>
          </w:tcPr>
          <w:p w14:paraId="66BB9279" w14:textId="77777777" w:rsidR="00BF6314" w:rsidRDefault="003E3176">
            <w:pPr>
              <w:pStyle w:val="CellHeader"/>
            </w:pPr>
            <w:r>
              <w:rPr>
                <w:rFonts w:cs="Times New Roman"/>
              </w:rPr>
              <w:t>Plan 2025. (eur)</w:t>
            </w:r>
          </w:p>
        </w:tc>
        <w:tc>
          <w:tcPr>
            <w:tcW w:w="1632" w:type="dxa"/>
            <w:shd w:val="clear" w:color="auto" w:fill="B5C0D8"/>
          </w:tcPr>
          <w:p w14:paraId="44EF1708" w14:textId="77777777" w:rsidR="00BF6314" w:rsidRDefault="003E3176">
            <w:pPr>
              <w:pStyle w:val="CellHeader"/>
            </w:pPr>
            <w:r>
              <w:rPr>
                <w:rFonts w:cs="Times New Roman"/>
              </w:rPr>
              <w:t>Plan 2026. (eur)</w:t>
            </w:r>
          </w:p>
        </w:tc>
        <w:tc>
          <w:tcPr>
            <w:tcW w:w="1632" w:type="dxa"/>
            <w:shd w:val="clear" w:color="auto" w:fill="B5C0D8"/>
          </w:tcPr>
          <w:p w14:paraId="2353570A" w14:textId="77777777" w:rsidR="00BF6314" w:rsidRDefault="003E3176">
            <w:pPr>
              <w:pStyle w:val="CellHeader"/>
            </w:pPr>
            <w:r>
              <w:rPr>
                <w:rFonts w:cs="Times New Roman"/>
              </w:rPr>
              <w:t>Plan 2027. (eur)</w:t>
            </w:r>
          </w:p>
        </w:tc>
        <w:tc>
          <w:tcPr>
            <w:tcW w:w="510" w:type="dxa"/>
            <w:shd w:val="clear" w:color="auto" w:fill="B5C0D8"/>
          </w:tcPr>
          <w:p w14:paraId="4F3ED8E6" w14:textId="77777777" w:rsidR="00BF6314" w:rsidRDefault="003E3176">
            <w:pPr>
              <w:pStyle w:val="CellHeader"/>
            </w:pPr>
            <w:r>
              <w:rPr>
                <w:rFonts w:cs="Times New Roman"/>
              </w:rPr>
              <w:t>Indeks 2025/2024</w:t>
            </w:r>
          </w:p>
        </w:tc>
      </w:tr>
      <w:tr w:rsidR="00BF6314" w14:paraId="08A1742E" w14:textId="77777777">
        <w:trPr>
          <w:jc w:val="center"/>
        </w:trPr>
        <w:tc>
          <w:tcPr>
            <w:tcW w:w="1530" w:type="dxa"/>
          </w:tcPr>
          <w:p w14:paraId="46CE9D1D" w14:textId="77777777" w:rsidR="00BF6314" w:rsidRDefault="003E3176">
            <w:pPr>
              <w:pStyle w:val="CellColumn"/>
            </w:pPr>
            <w:r>
              <w:rPr>
                <w:rFonts w:cs="Times New Roman"/>
              </w:rPr>
              <w:t>K658157-PROGRAM KONKURENTNOST I KOHEZIJA 2021.-2027</w:t>
            </w:r>
          </w:p>
        </w:tc>
        <w:tc>
          <w:tcPr>
            <w:tcW w:w="1632" w:type="dxa"/>
          </w:tcPr>
          <w:p w14:paraId="7F6E3F58" w14:textId="77777777" w:rsidR="00BF6314" w:rsidRDefault="003E3176">
            <w:pPr>
              <w:pStyle w:val="CellColumn"/>
            </w:pPr>
            <w:r>
              <w:rPr>
                <w:rFonts w:cs="Times New Roman"/>
              </w:rPr>
              <w:t>00</w:t>
            </w:r>
          </w:p>
        </w:tc>
        <w:tc>
          <w:tcPr>
            <w:tcW w:w="1632" w:type="dxa"/>
          </w:tcPr>
          <w:p w14:paraId="4380FCB1" w14:textId="77777777" w:rsidR="00BF6314" w:rsidRDefault="003E3176">
            <w:pPr>
              <w:pStyle w:val="CellColumn"/>
            </w:pPr>
            <w:r>
              <w:rPr>
                <w:rFonts w:cs="Times New Roman"/>
              </w:rPr>
              <w:t>00</w:t>
            </w:r>
          </w:p>
        </w:tc>
        <w:tc>
          <w:tcPr>
            <w:tcW w:w="1632" w:type="dxa"/>
          </w:tcPr>
          <w:p w14:paraId="466AF787" w14:textId="77777777" w:rsidR="00BF6314" w:rsidRDefault="003E3176">
            <w:pPr>
              <w:pStyle w:val="CellColumn"/>
            </w:pPr>
            <w:r>
              <w:rPr>
                <w:rFonts w:cs="Times New Roman"/>
              </w:rPr>
              <w:t>219.000</w:t>
            </w:r>
          </w:p>
        </w:tc>
        <w:tc>
          <w:tcPr>
            <w:tcW w:w="1632" w:type="dxa"/>
          </w:tcPr>
          <w:p w14:paraId="10A6DF18" w14:textId="77777777" w:rsidR="00BF6314" w:rsidRDefault="003E3176">
            <w:pPr>
              <w:pStyle w:val="CellColumn"/>
            </w:pPr>
            <w:r>
              <w:rPr>
                <w:rFonts w:cs="Times New Roman"/>
              </w:rPr>
              <w:t>421.300</w:t>
            </w:r>
          </w:p>
        </w:tc>
        <w:tc>
          <w:tcPr>
            <w:tcW w:w="1632" w:type="dxa"/>
          </w:tcPr>
          <w:p w14:paraId="6CC96885" w14:textId="77777777" w:rsidR="00BF6314" w:rsidRDefault="003E3176">
            <w:pPr>
              <w:pStyle w:val="CellColumn"/>
            </w:pPr>
            <w:r>
              <w:rPr>
                <w:rFonts w:cs="Times New Roman"/>
              </w:rPr>
              <w:t>424.000</w:t>
            </w:r>
          </w:p>
        </w:tc>
        <w:tc>
          <w:tcPr>
            <w:tcW w:w="510" w:type="dxa"/>
          </w:tcPr>
          <w:p w14:paraId="05BB9721" w14:textId="77777777" w:rsidR="00BF6314" w:rsidRDefault="003E3176">
            <w:pPr>
              <w:pStyle w:val="CellColumn"/>
            </w:pPr>
            <w:r>
              <w:rPr>
                <w:rFonts w:cs="Times New Roman"/>
              </w:rPr>
              <w:t>0,0</w:t>
            </w:r>
          </w:p>
        </w:tc>
      </w:tr>
    </w:tbl>
    <w:p w14:paraId="34F2BC1D" w14:textId="77777777" w:rsidR="00BF6314" w:rsidRDefault="00BF6314">
      <w:pPr>
        <w:jc w:val="left"/>
      </w:pPr>
    </w:p>
    <w:p w14:paraId="5F276F3D" w14:textId="77777777" w:rsidR="00BF6314" w:rsidRDefault="003E3176">
      <w:r>
        <w:t xml:space="preserve">U okviru OPKK 2021.- 2027., Cilj politike: 1. Pametnija Europa promicanjem inovativne i pametne gospodarske preobrazbe, Redni broj prioriteta: 1, Posebni cilj: 1.II. Iskorištavanje koristi digitalizacije za građane, poduzeća, istraživačke organizacije i javna tijela, za sufinanciranje putem strukturnih fondova, planirana su financijska sredstva za provedbu projekta 'Izrada IT rješenja za statistiku robne razmjene s inozemstvom'.   </w:t>
      </w:r>
    </w:p>
    <w:p w14:paraId="06E354AD" w14:textId="77777777" w:rsidR="00BF6314" w:rsidRDefault="003E3176">
      <w:r>
        <w:t xml:space="preserve">Cilj provedbe projekta je sustav koji će korisnicima omogućiti dobivanje relevantnih, pouzdanih i pravovremenih pokazatelja o robnoj razmjeni RH s inozemstvom, što će biti omogućeno kvalitetnim podacima dobivenima iz novog IT rješenja.  </w:t>
      </w:r>
    </w:p>
    <w:p w14:paraId="5A341855" w14:textId="77777777" w:rsidR="00BF6314" w:rsidRDefault="003E3176">
      <w:r>
        <w:t xml:space="preserve">U 2025. godini u okviru T658157 planirana su sredstva za rashode za zaposlene u iznosu 16.000 EUR i materijalne rashode u iznosu od 203.000 EUR.  </w:t>
      </w:r>
    </w:p>
    <w:p w14:paraId="1B966A85" w14:textId="77777777" w:rsidR="00BF6314" w:rsidRDefault="003E3176">
      <w:r>
        <w:t xml:space="preserve">U 2026. godini u okviru T658157 planirana su sredstva za rashode za zaposlene u iznosu od 17.300 EUR, materijalne rashode u iznosu od 4.000 EUR i rashode za nabavu proizvedene dugotrajne imovine u iznosu od 400.000 EUR.  </w:t>
      </w:r>
    </w:p>
    <w:p w14:paraId="74812A88" w14:textId="77777777" w:rsidR="00BF6314" w:rsidRDefault="003E3176">
      <w:r>
        <w:t>U 2027. godini u okviru T658157 planirana su sredstva za rashode za zaposlene u iznosu od 20.000 EUR, materijalne rashode u iznosu od 4.000 EUR i rashode za nabavu proizvedene dugotrajne imovine u iznosu od 400.000 EUR.</w:t>
      </w:r>
    </w:p>
    <w:p w14:paraId="1A49A8C8" w14:textId="77777777" w:rsidR="00BF6314" w:rsidRDefault="003E3176">
      <w:pPr>
        <w:pStyle w:val="Heading8"/>
        <w:jc w:val="left"/>
      </w:pPr>
      <w:r>
        <w:t>Pokazatelji rezultata</w:t>
      </w:r>
    </w:p>
    <w:tbl>
      <w:tblPr>
        <w:tblStyle w:val="StilTablice"/>
        <w:tblW w:w="10206" w:type="dxa"/>
        <w:jc w:val="center"/>
        <w:tblLook w:val="04A0" w:firstRow="1" w:lastRow="0" w:firstColumn="1" w:lastColumn="0" w:noHBand="0" w:noVBand="1"/>
      </w:tblPr>
      <w:tblGrid>
        <w:gridCol w:w="2043"/>
        <w:gridCol w:w="2066"/>
        <w:gridCol w:w="1553"/>
        <w:gridCol w:w="916"/>
        <w:gridCol w:w="880"/>
        <w:gridCol w:w="916"/>
        <w:gridCol w:w="916"/>
        <w:gridCol w:w="916"/>
      </w:tblGrid>
      <w:tr w:rsidR="00BF6314" w14:paraId="6029F4A6" w14:textId="77777777">
        <w:trPr>
          <w:jc w:val="center"/>
        </w:trPr>
        <w:tc>
          <w:tcPr>
            <w:tcW w:w="2245" w:type="dxa"/>
            <w:shd w:val="clear" w:color="auto" w:fill="B5C0D8"/>
          </w:tcPr>
          <w:p w14:paraId="16DCC06C" w14:textId="77777777" w:rsidR="00BF6314" w:rsidRDefault="003E3176">
            <w:r>
              <w:t>Pokazatelj rezultata</w:t>
            </w:r>
          </w:p>
        </w:tc>
        <w:tc>
          <w:tcPr>
            <w:tcW w:w="2245" w:type="dxa"/>
            <w:shd w:val="clear" w:color="auto" w:fill="B5C0D8"/>
          </w:tcPr>
          <w:p w14:paraId="2DCEB8D1" w14:textId="77777777" w:rsidR="00BF6314" w:rsidRDefault="003E3176">
            <w:pPr>
              <w:pStyle w:val="CellHeader"/>
            </w:pPr>
            <w:r>
              <w:rPr>
                <w:rFonts w:cs="Times New Roman"/>
              </w:rPr>
              <w:t>Definicija</w:t>
            </w:r>
          </w:p>
        </w:tc>
        <w:tc>
          <w:tcPr>
            <w:tcW w:w="2245" w:type="dxa"/>
            <w:shd w:val="clear" w:color="auto" w:fill="B5C0D8"/>
          </w:tcPr>
          <w:p w14:paraId="6E94EBA3" w14:textId="77777777" w:rsidR="00BF6314" w:rsidRDefault="003E3176">
            <w:pPr>
              <w:pStyle w:val="CellHeader"/>
            </w:pPr>
            <w:r>
              <w:rPr>
                <w:rFonts w:cs="Times New Roman"/>
              </w:rPr>
              <w:t>Jedinica</w:t>
            </w:r>
          </w:p>
        </w:tc>
        <w:tc>
          <w:tcPr>
            <w:tcW w:w="918" w:type="dxa"/>
            <w:shd w:val="clear" w:color="auto" w:fill="B5C0D8"/>
          </w:tcPr>
          <w:p w14:paraId="6220B184" w14:textId="77777777" w:rsidR="00BF6314" w:rsidRDefault="003E3176">
            <w:pPr>
              <w:pStyle w:val="CellHeader"/>
            </w:pPr>
            <w:r>
              <w:rPr>
                <w:rFonts w:cs="Times New Roman"/>
              </w:rPr>
              <w:t>Polazna vrijednost</w:t>
            </w:r>
          </w:p>
        </w:tc>
        <w:tc>
          <w:tcPr>
            <w:tcW w:w="918" w:type="dxa"/>
            <w:shd w:val="clear" w:color="auto" w:fill="B5C0D8"/>
          </w:tcPr>
          <w:p w14:paraId="1B4704F9" w14:textId="77777777" w:rsidR="00BF6314" w:rsidRDefault="003E3176">
            <w:pPr>
              <w:pStyle w:val="CellHeader"/>
            </w:pPr>
            <w:r>
              <w:rPr>
                <w:rFonts w:cs="Times New Roman"/>
              </w:rPr>
              <w:t>Izvor podataka</w:t>
            </w:r>
          </w:p>
        </w:tc>
        <w:tc>
          <w:tcPr>
            <w:tcW w:w="918" w:type="dxa"/>
            <w:shd w:val="clear" w:color="auto" w:fill="B5C0D8"/>
          </w:tcPr>
          <w:p w14:paraId="0E968D24" w14:textId="77777777" w:rsidR="00BF6314" w:rsidRDefault="003E3176">
            <w:pPr>
              <w:pStyle w:val="CellHeader"/>
            </w:pPr>
            <w:r>
              <w:rPr>
                <w:rFonts w:cs="Times New Roman"/>
              </w:rPr>
              <w:t>Ciljana vrijednost (2025.)</w:t>
            </w:r>
          </w:p>
        </w:tc>
        <w:tc>
          <w:tcPr>
            <w:tcW w:w="918" w:type="dxa"/>
            <w:shd w:val="clear" w:color="auto" w:fill="B5C0D8"/>
          </w:tcPr>
          <w:p w14:paraId="40B158E6" w14:textId="77777777" w:rsidR="00BF6314" w:rsidRDefault="003E3176">
            <w:pPr>
              <w:pStyle w:val="CellHeader"/>
            </w:pPr>
            <w:r>
              <w:rPr>
                <w:rFonts w:cs="Times New Roman"/>
              </w:rPr>
              <w:t>Ciljana vrijednost (2026.)</w:t>
            </w:r>
          </w:p>
        </w:tc>
        <w:tc>
          <w:tcPr>
            <w:tcW w:w="918" w:type="dxa"/>
            <w:shd w:val="clear" w:color="auto" w:fill="B5C0D8"/>
          </w:tcPr>
          <w:p w14:paraId="6EAC3995" w14:textId="77777777" w:rsidR="00BF6314" w:rsidRDefault="003E3176">
            <w:pPr>
              <w:pStyle w:val="CellHeader"/>
            </w:pPr>
            <w:r>
              <w:rPr>
                <w:rFonts w:cs="Times New Roman"/>
              </w:rPr>
              <w:t>Ciljana vrijednost (2027.)</w:t>
            </w:r>
          </w:p>
        </w:tc>
      </w:tr>
      <w:tr w:rsidR="00BF6314" w14:paraId="5AFACDC3" w14:textId="77777777">
        <w:trPr>
          <w:jc w:val="center"/>
        </w:trPr>
        <w:tc>
          <w:tcPr>
            <w:tcW w:w="2245" w:type="dxa"/>
          </w:tcPr>
          <w:p w14:paraId="449B7752" w14:textId="77777777" w:rsidR="00BF6314" w:rsidRDefault="003E3176">
            <w:pPr>
              <w:pStyle w:val="CellColumn"/>
            </w:pPr>
            <w:r>
              <w:rPr>
                <w:rFonts w:cs="Times New Roman"/>
              </w:rPr>
              <w:t>Broj završenih projekata implementacije novog IT sustava/alata/rješenja uspješno završen (kumulativ)</w:t>
            </w:r>
          </w:p>
        </w:tc>
        <w:tc>
          <w:tcPr>
            <w:tcW w:w="2245" w:type="dxa"/>
          </w:tcPr>
          <w:p w14:paraId="1B3D57AA" w14:textId="77777777" w:rsidR="00BF6314" w:rsidRDefault="003E3176">
            <w:pPr>
              <w:pStyle w:val="CellColumn"/>
            </w:pPr>
            <w:r>
              <w:rPr>
                <w:rFonts w:cs="Times New Roman"/>
              </w:rPr>
              <w:t>Projekt se smatra završenim kada Nadležno tijelo za provođenje projekata sufinanciranih iz ESI fondova odobri završno izvješće projekta implementacije IT sustava/alata/rješenja. Vrijednost označava kumulativ svih provedenih tj. završenih projekata u trenutku sastavljanja Obrazloženja (polazna vrijednost) odnosno projekata završenih do 31. prosinca svake godine (ciljana vrijednost).</w:t>
            </w:r>
          </w:p>
        </w:tc>
        <w:tc>
          <w:tcPr>
            <w:tcW w:w="918" w:type="dxa"/>
          </w:tcPr>
          <w:p w14:paraId="1B58C431" w14:textId="77777777" w:rsidR="00BF6314" w:rsidRDefault="003E3176">
            <w:pPr>
              <w:pStyle w:val="CellColumn"/>
            </w:pPr>
            <w:r>
              <w:rPr>
                <w:rFonts w:cs="Times New Roman"/>
              </w:rPr>
              <w:t>Broj</w:t>
            </w:r>
          </w:p>
        </w:tc>
        <w:tc>
          <w:tcPr>
            <w:tcW w:w="918" w:type="dxa"/>
          </w:tcPr>
          <w:p w14:paraId="376B3E74" w14:textId="77777777" w:rsidR="00BF6314" w:rsidRDefault="003E3176">
            <w:pPr>
              <w:pStyle w:val="CellColumn"/>
            </w:pPr>
            <w:r>
              <w:rPr>
                <w:rFonts w:cs="Times New Roman"/>
              </w:rPr>
              <w:t>0</w:t>
            </w:r>
          </w:p>
        </w:tc>
        <w:tc>
          <w:tcPr>
            <w:tcW w:w="918" w:type="dxa"/>
          </w:tcPr>
          <w:p w14:paraId="2847B9E4" w14:textId="77777777" w:rsidR="00BF6314" w:rsidRDefault="003E3176">
            <w:pPr>
              <w:pStyle w:val="CellColumn"/>
            </w:pPr>
            <w:r>
              <w:rPr>
                <w:rFonts w:cs="Times New Roman"/>
              </w:rPr>
              <w:t>DZS</w:t>
            </w:r>
          </w:p>
        </w:tc>
        <w:tc>
          <w:tcPr>
            <w:tcW w:w="918" w:type="dxa"/>
          </w:tcPr>
          <w:p w14:paraId="62B319D2" w14:textId="77777777" w:rsidR="00BF6314" w:rsidRDefault="003E3176">
            <w:pPr>
              <w:pStyle w:val="CellColumn"/>
            </w:pPr>
            <w:r>
              <w:rPr>
                <w:rFonts w:cs="Times New Roman"/>
              </w:rPr>
              <w:t>1</w:t>
            </w:r>
          </w:p>
        </w:tc>
        <w:tc>
          <w:tcPr>
            <w:tcW w:w="918" w:type="dxa"/>
          </w:tcPr>
          <w:p w14:paraId="0BF27DC3" w14:textId="77777777" w:rsidR="00BF6314" w:rsidRDefault="003E3176">
            <w:pPr>
              <w:pStyle w:val="CellColumn"/>
            </w:pPr>
            <w:r>
              <w:rPr>
                <w:rFonts w:cs="Times New Roman"/>
              </w:rPr>
              <w:t>1</w:t>
            </w:r>
          </w:p>
        </w:tc>
        <w:tc>
          <w:tcPr>
            <w:tcW w:w="918" w:type="dxa"/>
          </w:tcPr>
          <w:p w14:paraId="70CF479A" w14:textId="77777777" w:rsidR="00BF6314" w:rsidRDefault="003E3176">
            <w:pPr>
              <w:pStyle w:val="CellColumn"/>
            </w:pPr>
            <w:r>
              <w:rPr>
                <w:rFonts w:cs="Times New Roman"/>
              </w:rPr>
              <w:t>1</w:t>
            </w:r>
          </w:p>
        </w:tc>
      </w:tr>
    </w:tbl>
    <w:p w14:paraId="62B4A48E" w14:textId="77777777" w:rsidR="00BF6314" w:rsidRDefault="00BF6314">
      <w:pPr>
        <w:jc w:val="left"/>
      </w:pPr>
    </w:p>
    <w:p w14:paraId="4719B8F2" w14:textId="77777777" w:rsidR="00BF6314" w:rsidRDefault="003E3176">
      <w:pPr>
        <w:pStyle w:val="Heading4"/>
      </w:pPr>
      <w:r>
        <w:lastRenderedPageBreak/>
        <w:t>T658142 SUDJELOVANJE U STATISTIČKIM PROGRAMIMA EUROPSKE KOMISIJE</w:t>
      </w:r>
    </w:p>
    <w:p w14:paraId="40D90231" w14:textId="77777777" w:rsidR="00BF6314" w:rsidRDefault="003E3176">
      <w:pPr>
        <w:pStyle w:val="Heading8"/>
        <w:jc w:val="left"/>
      </w:pPr>
      <w:r>
        <w:t>Zakonske i druge pravne osnove</w:t>
      </w:r>
    </w:p>
    <w:p w14:paraId="6035E951" w14:textId="77777777" w:rsidR="00BF6314" w:rsidRDefault="003E3176">
      <w:pPr>
        <w:pStyle w:val="Normal5"/>
      </w:pPr>
      <w:r>
        <w:t xml:space="preserve">Zakon o službenoj statistici  </w:t>
      </w:r>
    </w:p>
    <w:p w14:paraId="0F44A843" w14:textId="77777777" w:rsidR="00BF6314" w:rsidRDefault="003E3176">
      <w:pPr>
        <w:pStyle w:val="Normal5"/>
      </w:pPr>
      <w:r>
        <w:t xml:space="preserve">Godišnji provedbeni plan statističkih aktivnosti Republike Hrvatske.  </w:t>
      </w:r>
    </w:p>
    <w:p w14:paraId="57F7D207" w14:textId="77777777" w:rsidR="00BF6314" w:rsidRDefault="003E3176">
      <w:pPr>
        <w:pStyle w:val="Normal5"/>
      </w:pPr>
      <w:r>
        <w:t>Darovni ugovori Europske komisije- Eurostata</w:t>
      </w:r>
    </w:p>
    <w:tbl>
      <w:tblPr>
        <w:tblStyle w:val="StilTablice"/>
        <w:tblW w:w="10206" w:type="dxa"/>
        <w:jc w:val="center"/>
        <w:tblLook w:val="04A0" w:firstRow="1" w:lastRow="0" w:firstColumn="1" w:lastColumn="0" w:noHBand="0" w:noVBand="1"/>
      </w:tblPr>
      <w:tblGrid>
        <w:gridCol w:w="1615"/>
        <w:gridCol w:w="1525"/>
        <w:gridCol w:w="1524"/>
        <w:gridCol w:w="1524"/>
        <w:gridCol w:w="1524"/>
        <w:gridCol w:w="1524"/>
        <w:gridCol w:w="970"/>
      </w:tblGrid>
      <w:tr w:rsidR="00BF6314" w14:paraId="6795D5E9" w14:textId="77777777">
        <w:trPr>
          <w:jc w:val="center"/>
        </w:trPr>
        <w:tc>
          <w:tcPr>
            <w:tcW w:w="1530" w:type="dxa"/>
            <w:shd w:val="clear" w:color="auto" w:fill="B5C0D8"/>
          </w:tcPr>
          <w:p w14:paraId="59413F84" w14:textId="77777777" w:rsidR="00BF6314" w:rsidRDefault="003E3176">
            <w:pPr>
              <w:pStyle w:val="CellHeader"/>
            </w:pPr>
            <w:r>
              <w:rPr>
                <w:rFonts w:cs="Times New Roman"/>
              </w:rPr>
              <w:t>Naziv aktivnosti</w:t>
            </w:r>
          </w:p>
        </w:tc>
        <w:tc>
          <w:tcPr>
            <w:tcW w:w="1632" w:type="dxa"/>
            <w:shd w:val="clear" w:color="auto" w:fill="B5C0D8"/>
          </w:tcPr>
          <w:p w14:paraId="372E9727" w14:textId="77777777" w:rsidR="00BF6314" w:rsidRDefault="003E3176">
            <w:pPr>
              <w:pStyle w:val="CellHeader"/>
            </w:pPr>
            <w:r>
              <w:rPr>
                <w:rFonts w:cs="Times New Roman"/>
              </w:rPr>
              <w:t>Izvršenje 2023. (eur)</w:t>
            </w:r>
          </w:p>
        </w:tc>
        <w:tc>
          <w:tcPr>
            <w:tcW w:w="1632" w:type="dxa"/>
            <w:shd w:val="clear" w:color="auto" w:fill="B5C0D8"/>
          </w:tcPr>
          <w:p w14:paraId="116971BC" w14:textId="77777777" w:rsidR="00BF6314" w:rsidRDefault="003E3176">
            <w:pPr>
              <w:pStyle w:val="CellHeader"/>
            </w:pPr>
            <w:r>
              <w:rPr>
                <w:rFonts w:cs="Times New Roman"/>
              </w:rPr>
              <w:t>Plan 2024. (eur)</w:t>
            </w:r>
          </w:p>
        </w:tc>
        <w:tc>
          <w:tcPr>
            <w:tcW w:w="1632" w:type="dxa"/>
            <w:shd w:val="clear" w:color="auto" w:fill="B5C0D8"/>
          </w:tcPr>
          <w:p w14:paraId="153D067A" w14:textId="77777777" w:rsidR="00BF6314" w:rsidRDefault="003E3176">
            <w:pPr>
              <w:pStyle w:val="CellHeader"/>
            </w:pPr>
            <w:r>
              <w:rPr>
                <w:rFonts w:cs="Times New Roman"/>
              </w:rPr>
              <w:t>Plan 2025. (eur)</w:t>
            </w:r>
          </w:p>
        </w:tc>
        <w:tc>
          <w:tcPr>
            <w:tcW w:w="1632" w:type="dxa"/>
            <w:shd w:val="clear" w:color="auto" w:fill="B5C0D8"/>
          </w:tcPr>
          <w:p w14:paraId="612E2D3E" w14:textId="77777777" w:rsidR="00BF6314" w:rsidRDefault="003E3176">
            <w:pPr>
              <w:pStyle w:val="CellHeader"/>
            </w:pPr>
            <w:r>
              <w:rPr>
                <w:rFonts w:cs="Times New Roman"/>
              </w:rPr>
              <w:t>Plan 2026. (eur)</w:t>
            </w:r>
          </w:p>
        </w:tc>
        <w:tc>
          <w:tcPr>
            <w:tcW w:w="1632" w:type="dxa"/>
            <w:shd w:val="clear" w:color="auto" w:fill="B5C0D8"/>
          </w:tcPr>
          <w:p w14:paraId="438A82D5" w14:textId="77777777" w:rsidR="00BF6314" w:rsidRDefault="003E3176">
            <w:pPr>
              <w:pStyle w:val="CellHeader"/>
            </w:pPr>
            <w:r>
              <w:rPr>
                <w:rFonts w:cs="Times New Roman"/>
              </w:rPr>
              <w:t>Plan 2027. (eur)</w:t>
            </w:r>
          </w:p>
        </w:tc>
        <w:tc>
          <w:tcPr>
            <w:tcW w:w="510" w:type="dxa"/>
            <w:shd w:val="clear" w:color="auto" w:fill="B5C0D8"/>
          </w:tcPr>
          <w:p w14:paraId="33CA0104" w14:textId="77777777" w:rsidR="00BF6314" w:rsidRDefault="003E3176">
            <w:pPr>
              <w:pStyle w:val="CellHeader"/>
            </w:pPr>
            <w:r>
              <w:rPr>
                <w:rFonts w:cs="Times New Roman"/>
              </w:rPr>
              <w:t>Indeks 2025/2024</w:t>
            </w:r>
          </w:p>
        </w:tc>
      </w:tr>
      <w:tr w:rsidR="00BF6314" w14:paraId="23ED35CD" w14:textId="77777777">
        <w:trPr>
          <w:jc w:val="center"/>
        </w:trPr>
        <w:tc>
          <w:tcPr>
            <w:tcW w:w="1530" w:type="dxa"/>
          </w:tcPr>
          <w:p w14:paraId="7A3C3537" w14:textId="77777777" w:rsidR="00BF6314" w:rsidRDefault="003E3176">
            <w:pPr>
              <w:pStyle w:val="CellColumn"/>
            </w:pPr>
            <w:r>
              <w:rPr>
                <w:rFonts w:cs="Times New Roman"/>
              </w:rPr>
              <w:t>T658142-SUDJELOVANJE U STATISTIČKIM PROGRAMIMA EUROPSKE KOMISIJE</w:t>
            </w:r>
          </w:p>
        </w:tc>
        <w:tc>
          <w:tcPr>
            <w:tcW w:w="1632" w:type="dxa"/>
          </w:tcPr>
          <w:p w14:paraId="72D27C8F" w14:textId="77777777" w:rsidR="00BF6314" w:rsidRDefault="003E3176">
            <w:pPr>
              <w:pStyle w:val="CellColumn"/>
            </w:pPr>
            <w:r>
              <w:rPr>
                <w:rFonts w:cs="Times New Roman"/>
              </w:rPr>
              <w:t>1.099.167</w:t>
            </w:r>
          </w:p>
        </w:tc>
        <w:tc>
          <w:tcPr>
            <w:tcW w:w="1632" w:type="dxa"/>
          </w:tcPr>
          <w:p w14:paraId="10016447" w14:textId="77777777" w:rsidR="00BF6314" w:rsidRDefault="003E3176">
            <w:pPr>
              <w:pStyle w:val="CellColumn"/>
            </w:pPr>
            <w:r>
              <w:rPr>
                <w:rFonts w:cs="Times New Roman"/>
              </w:rPr>
              <w:t>1.034.381</w:t>
            </w:r>
          </w:p>
        </w:tc>
        <w:tc>
          <w:tcPr>
            <w:tcW w:w="1632" w:type="dxa"/>
          </w:tcPr>
          <w:p w14:paraId="2070A1AE" w14:textId="77777777" w:rsidR="00BF6314" w:rsidRDefault="003E3176">
            <w:pPr>
              <w:pStyle w:val="CellColumn"/>
            </w:pPr>
            <w:r>
              <w:rPr>
                <w:rFonts w:cs="Times New Roman"/>
              </w:rPr>
              <w:t>1.053.280</w:t>
            </w:r>
          </w:p>
        </w:tc>
        <w:tc>
          <w:tcPr>
            <w:tcW w:w="1632" w:type="dxa"/>
          </w:tcPr>
          <w:p w14:paraId="1BF7584B" w14:textId="77777777" w:rsidR="00BF6314" w:rsidRDefault="003E3176">
            <w:pPr>
              <w:pStyle w:val="CellColumn"/>
            </w:pPr>
            <w:r>
              <w:rPr>
                <w:rFonts w:cs="Times New Roman"/>
              </w:rPr>
              <w:t>1.568.378</w:t>
            </w:r>
          </w:p>
        </w:tc>
        <w:tc>
          <w:tcPr>
            <w:tcW w:w="1632" w:type="dxa"/>
          </w:tcPr>
          <w:p w14:paraId="7B03050B" w14:textId="77777777" w:rsidR="00BF6314" w:rsidRDefault="003E3176">
            <w:pPr>
              <w:pStyle w:val="CellColumn"/>
            </w:pPr>
            <w:r>
              <w:rPr>
                <w:rFonts w:cs="Times New Roman"/>
              </w:rPr>
              <w:t>1.427.917</w:t>
            </w:r>
          </w:p>
        </w:tc>
        <w:tc>
          <w:tcPr>
            <w:tcW w:w="510" w:type="dxa"/>
          </w:tcPr>
          <w:p w14:paraId="3DE561FF" w14:textId="77777777" w:rsidR="00BF6314" w:rsidRDefault="003E3176">
            <w:pPr>
              <w:pStyle w:val="CellColumn"/>
            </w:pPr>
            <w:r>
              <w:rPr>
                <w:rFonts w:cs="Times New Roman"/>
              </w:rPr>
              <w:t>101,8</w:t>
            </w:r>
          </w:p>
        </w:tc>
      </w:tr>
    </w:tbl>
    <w:p w14:paraId="5E35BBDC" w14:textId="77777777" w:rsidR="00BF6314" w:rsidRDefault="00BF6314">
      <w:pPr>
        <w:jc w:val="left"/>
      </w:pPr>
    </w:p>
    <w:p w14:paraId="4E74BE36" w14:textId="77777777" w:rsidR="00BF6314" w:rsidRDefault="003E3176">
      <w:r>
        <w:t xml:space="preserve">Zavod je sklopio niz darovnih ugovora s Europskom komisijom– Eurostat-om. Cilj svih ovih darovnica je unapređenje statistike. Darovnice Eurostata za statistiku omogućuju financijsku pomoć na raznim statističkim područjima, od poslovnih statistika, statistika energije, statistike robne razmjene s inozemstvom, subnacionalnih statistika, do raznih istraživanja kao što su IKT istraživanja, istraživanja o radnoj snazi, istraživanje o rodno uvjetovanom i međuljudskom nasilju itd. Darovnicama se uvijek žele postići određeni specifični i generalni ciljevi, obično u vidu implementacije novih metodologija i modula, te proizvodnje harmoniziranih statističkih podataka.    </w:t>
      </w:r>
    </w:p>
    <w:p w14:paraId="6FB20EE8" w14:textId="77777777" w:rsidR="00BF6314" w:rsidRDefault="003E3176">
      <w:r>
        <w:t xml:space="preserve">U 2025. godini planirana su sredstva za rashode za zaposlene u iznosu od 649.481 EUR, materijalne rashode u iznosu od 322.517 EUR, rashode za nabavu proizvedene dugotrajne imovine u iznosu od 54.809 EUR i rashode za dodatna ulaganja na nefinancijskoj imovini u iznosu od 26.473 EUR.   </w:t>
      </w:r>
    </w:p>
    <w:p w14:paraId="1CF2CCB3" w14:textId="77777777" w:rsidR="00BF6314" w:rsidRDefault="003E3176">
      <w:r>
        <w:t xml:space="preserve">U 2026. godini planirana su sredstva za rashode za zaposlene u iznosu od 729.302 EUR, materijalne rashode u iznosu od 743.302 EUR, rashode za nabavu proizvedene dugotrajne imovine u iznosu od 64.582 EUR i rashode za dodatna ulaganja na nefinancijskoj imovini u iznosu od 31.192 EUR.   </w:t>
      </w:r>
    </w:p>
    <w:p w14:paraId="29A3B097" w14:textId="77777777" w:rsidR="00BF6314" w:rsidRDefault="003E3176">
      <w:r>
        <w:t>U 2027. godini planirana su sredstva za rashode za zaposlene u iznosu od 767.045 EUR, materijalne rashode u iznosu od 563.207 EUR, rashode za nabavu proizvedene dugotrajne imovine u iznosu od 65.857 EUR i rashode za dodatna ulaganja na nefinancijskoj imovini u iznosu od 31.808 EUR.</w:t>
      </w:r>
    </w:p>
    <w:p w14:paraId="07BA683A" w14:textId="77777777" w:rsidR="00BF6314" w:rsidRDefault="003E3176">
      <w:pPr>
        <w:pStyle w:val="Heading8"/>
        <w:jc w:val="left"/>
      </w:pPr>
      <w:r>
        <w:t>Pokazatelji rezultata</w:t>
      </w:r>
    </w:p>
    <w:tbl>
      <w:tblPr>
        <w:tblStyle w:val="StilTablice"/>
        <w:tblW w:w="10206" w:type="dxa"/>
        <w:jc w:val="center"/>
        <w:tblLook w:val="04A0" w:firstRow="1" w:lastRow="0" w:firstColumn="1" w:lastColumn="0" w:noHBand="0" w:noVBand="1"/>
      </w:tblPr>
      <w:tblGrid>
        <w:gridCol w:w="1897"/>
        <w:gridCol w:w="1934"/>
        <w:gridCol w:w="1813"/>
        <w:gridCol w:w="917"/>
        <w:gridCol w:w="894"/>
        <w:gridCol w:w="917"/>
        <w:gridCol w:w="917"/>
        <w:gridCol w:w="917"/>
      </w:tblGrid>
      <w:tr w:rsidR="00BF6314" w14:paraId="51DCC0D7" w14:textId="77777777">
        <w:trPr>
          <w:jc w:val="center"/>
        </w:trPr>
        <w:tc>
          <w:tcPr>
            <w:tcW w:w="2245" w:type="dxa"/>
            <w:shd w:val="clear" w:color="auto" w:fill="B5C0D8"/>
          </w:tcPr>
          <w:p w14:paraId="153D249B" w14:textId="77777777" w:rsidR="00BF6314" w:rsidRDefault="003E3176">
            <w:r>
              <w:t>Pokazatelj rezultata</w:t>
            </w:r>
          </w:p>
        </w:tc>
        <w:tc>
          <w:tcPr>
            <w:tcW w:w="2245" w:type="dxa"/>
            <w:shd w:val="clear" w:color="auto" w:fill="B5C0D8"/>
          </w:tcPr>
          <w:p w14:paraId="65B2163D" w14:textId="77777777" w:rsidR="00BF6314" w:rsidRDefault="003E3176">
            <w:pPr>
              <w:pStyle w:val="CellHeader"/>
            </w:pPr>
            <w:r>
              <w:rPr>
                <w:rFonts w:cs="Times New Roman"/>
              </w:rPr>
              <w:t>Definicija</w:t>
            </w:r>
          </w:p>
        </w:tc>
        <w:tc>
          <w:tcPr>
            <w:tcW w:w="2245" w:type="dxa"/>
            <w:shd w:val="clear" w:color="auto" w:fill="B5C0D8"/>
          </w:tcPr>
          <w:p w14:paraId="7C0C0A62" w14:textId="77777777" w:rsidR="00BF6314" w:rsidRDefault="003E3176">
            <w:pPr>
              <w:pStyle w:val="CellHeader"/>
            </w:pPr>
            <w:r>
              <w:rPr>
                <w:rFonts w:cs="Times New Roman"/>
              </w:rPr>
              <w:t>Jedinica</w:t>
            </w:r>
          </w:p>
        </w:tc>
        <w:tc>
          <w:tcPr>
            <w:tcW w:w="918" w:type="dxa"/>
            <w:shd w:val="clear" w:color="auto" w:fill="B5C0D8"/>
          </w:tcPr>
          <w:p w14:paraId="74F744D7" w14:textId="77777777" w:rsidR="00BF6314" w:rsidRDefault="003E3176">
            <w:pPr>
              <w:pStyle w:val="CellHeader"/>
            </w:pPr>
            <w:r>
              <w:rPr>
                <w:rFonts w:cs="Times New Roman"/>
              </w:rPr>
              <w:t>Polazna vrijednost</w:t>
            </w:r>
          </w:p>
        </w:tc>
        <w:tc>
          <w:tcPr>
            <w:tcW w:w="918" w:type="dxa"/>
            <w:shd w:val="clear" w:color="auto" w:fill="B5C0D8"/>
          </w:tcPr>
          <w:p w14:paraId="4D18D408" w14:textId="77777777" w:rsidR="00BF6314" w:rsidRDefault="003E3176">
            <w:pPr>
              <w:pStyle w:val="CellHeader"/>
            </w:pPr>
            <w:r>
              <w:rPr>
                <w:rFonts w:cs="Times New Roman"/>
              </w:rPr>
              <w:t>Izvor podataka</w:t>
            </w:r>
          </w:p>
        </w:tc>
        <w:tc>
          <w:tcPr>
            <w:tcW w:w="918" w:type="dxa"/>
            <w:shd w:val="clear" w:color="auto" w:fill="B5C0D8"/>
          </w:tcPr>
          <w:p w14:paraId="4C8B0E59" w14:textId="77777777" w:rsidR="00BF6314" w:rsidRDefault="003E3176">
            <w:pPr>
              <w:pStyle w:val="CellHeader"/>
            </w:pPr>
            <w:r>
              <w:rPr>
                <w:rFonts w:cs="Times New Roman"/>
              </w:rPr>
              <w:t>Ciljana vrijednost (2025.)</w:t>
            </w:r>
          </w:p>
        </w:tc>
        <w:tc>
          <w:tcPr>
            <w:tcW w:w="918" w:type="dxa"/>
            <w:shd w:val="clear" w:color="auto" w:fill="B5C0D8"/>
          </w:tcPr>
          <w:p w14:paraId="0DB24533" w14:textId="77777777" w:rsidR="00BF6314" w:rsidRDefault="003E3176">
            <w:pPr>
              <w:pStyle w:val="CellHeader"/>
            </w:pPr>
            <w:r>
              <w:rPr>
                <w:rFonts w:cs="Times New Roman"/>
              </w:rPr>
              <w:t>Ciljana vrijednost (2026.)</w:t>
            </w:r>
          </w:p>
        </w:tc>
        <w:tc>
          <w:tcPr>
            <w:tcW w:w="918" w:type="dxa"/>
            <w:shd w:val="clear" w:color="auto" w:fill="B5C0D8"/>
          </w:tcPr>
          <w:p w14:paraId="0B157957" w14:textId="77777777" w:rsidR="00BF6314" w:rsidRDefault="003E3176">
            <w:pPr>
              <w:pStyle w:val="CellHeader"/>
            </w:pPr>
            <w:r>
              <w:rPr>
                <w:rFonts w:cs="Times New Roman"/>
              </w:rPr>
              <w:t>Ciljana vrijednost (2027.)</w:t>
            </w:r>
          </w:p>
        </w:tc>
      </w:tr>
      <w:tr w:rsidR="00BF6314" w14:paraId="2C6BFA75" w14:textId="77777777">
        <w:trPr>
          <w:jc w:val="center"/>
        </w:trPr>
        <w:tc>
          <w:tcPr>
            <w:tcW w:w="2245" w:type="dxa"/>
          </w:tcPr>
          <w:p w14:paraId="1CDEE7D3" w14:textId="77777777" w:rsidR="00BF6314" w:rsidRDefault="003E3176">
            <w:pPr>
              <w:pStyle w:val="CellColumn"/>
            </w:pPr>
            <w:r>
              <w:rPr>
                <w:rFonts w:cs="Times New Roman"/>
              </w:rPr>
              <w:t>Broj završenih projekata  (kumulativ)</w:t>
            </w:r>
          </w:p>
        </w:tc>
        <w:tc>
          <w:tcPr>
            <w:tcW w:w="2245" w:type="dxa"/>
          </w:tcPr>
          <w:p w14:paraId="2E705CD3" w14:textId="77777777" w:rsidR="00BF6314" w:rsidRDefault="003E3176">
            <w:pPr>
              <w:pStyle w:val="CellColumn"/>
            </w:pPr>
            <w:r>
              <w:rPr>
                <w:rFonts w:cs="Times New Roman"/>
              </w:rPr>
              <w:t>Projekt se smatra završenim kada Eurostat odobri završno izvješće projekta. Vrijednost označava kumulativ svih provedenih tj. završenih projekata u trenutku sastavljanja Obrazloženja (polazna vrijednost) odnosno projekata završenih do 31. prosinca svake godine (ciljana vrijednost).</w:t>
            </w:r>
          </w:p>
        </w:tc>
        <w:tc>
          <w:tcPr>
            <w:tcW w:w="918" w:type="dxa"/>
          </w:tcPr>
          <w:p w14:paraId="27A5D5F5" w14:textId="77777777" w:rsidR="00BF6314" w:rsidRDefault="003E3176">
            <w:pPr>
              <w:pStyle w:val="CellColumn"/>
            </w:pPr>
            <w:r>
              <w:rPr>
                <w:rFonts w:cs="Times New Roman"/>
              </w:rPr>
              <w:t>Broj</w:t>
            </w:r>
          </w:p>
        </w:tc>
        <w:tc>
          <w:tcPr>
            <w:tcW w:w="918" w:type="dxa"/>
          </w:tcPr>
          <w:p w14:paraId="200DE089" w14:textId="77777777" w:rsidR="00BF6314" w:rsidRDefault="003E3176">
            <w:pPr>
              <w:pStyle w:val="CellColumn"/>
            </w:pPr>
            <w:r>
              <w:rPr>
                <w:rFonts w:cs="Times New Roman"/>
              </w:rPr>
              <w:t>136</w:t>
            </w:r>
          </w:p>
        </w:tc>
        <w:tc>
          <w:tcPr>
            <w:tcW w:w="918" w:type="dxa"/>
          </w:tcPr>
          <w:p w14:paraId="4F6BBB04" w14:textId="77777777" w:rsidR="00BF6314" w:rsidRDefault="003E3176">
            <w:pPr>
              <w:pStyle w:val="CellColumn"/>
            </w:pPr>
            <w:r>
              <w:rPr>
                <w:rFonts w:cs="Times New Roman"/>
              </w:rPr>
              <w:t>DZS</w:t>
            </w:r>
          </w:p>
        </w:tc>
        <w:tc>
          <w:tcPr>
            <w:tcW w:w="918" w:type="dxa"/>
          </w:tcPr>
          <w:p w14:paraId="72F25AB9" w14:textId="77777777" w:rsidR="00BF6314" w:rsidRDefault="003E3176">
            <w:pPr>
              <w:pStyle w:val="CellColumn"/>
            </w:pPr>
            <w:r>
              <w:rPr>
                <w:rFonts w:cs="Times New Roman"/>
              </w:rPr>
              <w:t>143</w:t>
            </w:r>
          </w:p>
        </w:tc>
        <w:tc>
          <w:tcPr>
            <w:tcW w:w="918" w:type="dxa"/>
          </w:tcPr>
          <w:p w14:paraId="568F55FB" w14:textId="77777777" w:rsidR="00BF6314" w:rsidRDefault="003E3176">
            <w:pPr>
              <w:pStyle w:val="CellColumn"/>
            </w:pPr>
            <w:r>
              <w:rPr>
                <w:rFonts w:cs="Times New Roman"/>
              </w:rPr>
              <w:t>150</w:t>
            </w:r>
          </w:p>
        </w:tc>
        <w:tc>
          <w:tcPr>
            <w:tcW w:w="918" w:type="dxa"/>
          </w:tcPr>
          <w:p w14:paraId="53E251E1" w14:textId="77777777" w:rsidR="00BF6314" w:rsidRDefault="003E3176">
            <w:pPr>
              <w:pStyle w:val="CellColumn"/>
            </w:pPr>
            <w:r>
              <w:rPr>
                <w:rFonts w:cs="Times New Roman"/>
              </w:rPr>
              <w:t>155</w:t>
            </w:r>
          </w:p>
        </w:tc>
      </w:tr>
    </w:tbl>
    <w:p w14:paraId="45742C8D" w14:textId="77777777" w:rsidR="00BF6314" w:rsidRDefault="00BF6314">
      <w:pPr>
        <w:jc w:val="left"/>
      </w:pPr>
    </w:p>
    <w:p w14:paraId="14DDF318" w14:textId="77777777" w:rsidR="00BF6314" w:rsidRDefault="003E3176">
      <w:pPr>
        <w:pStyle w:val="Heading4"/>
      </w:pPr>
      <w:r>
        <w:lastRenderedPageBreak/>
        <w:t>T658160 PRIJENOS ZNANJA ZEMLJAMA KORISNICIMA TEHNIČKE POMOĆI</w:t>
      </w:r>
    </w:p>
    <w:p w14:paraId="21C39957" w14:textId="77777777" w:rsidR="00BF6314" w:rsidRDefault="003E3176">
      <w:pPr>
        <w:pStyle w:val="Heading8"/>
        <w:jc w:val="left"/>
      </w:pPr>
      <w:r>
        <w:t>Zakonske i druge pravne osnove</w:t>
      </w:r>
    </w:p>
    <w:p w14:paraId="67DE6C3B" w14:textId="77777777" w:rsidR="00BF6314" w:rsidRDefault="003E3176">
      <w:pPr>
        <w:pStyle w:val="Normal5"/>
      </w:pPr>
      <w:r>
        <w:t xml:space="preserve">Zakon o službenoj statistici     </w:t>
      </w:r>
    </w:p>
    <w:p w14:paraId="5AEAF42A" w14:textId="77777777" w:rsidR="00BF6314" w:rsidRDefault="003E3176">
      <w:pPr>
        <w:pStyle w:val="Normal5"/>
      </w:pPr>
      <w:r>
        <w:t xml:space="preserve">Godišnji provedbeni plan statističkih aktivnosti Republike Hrvatske   </w:t>
      </w:r>
    </w:p>
    <w:p w14:paraId="02A5DC35" w14:textId="77777777" w:rsidR="00BF6314" w:rsidRDefault="003E3176">
      <w:pPr>
        <w:pStyle w:val="Normal5"/>
      </w:pPr>
      <w:r>
        <w:t xml:space="preserve">Uredba o unutarnjem ustrojstvu Državnog zavoda za statistiku, točka 12. (NN 97/20)  </w:t>
      </w:r>
    </w:p>
    <w:p w14:paraId="2FFD94C7" w14:textId="77777777" w:rsidR="00BF6314" w:rsidRDefault="003E3176">
      <w:pPr>
        <w:pStyle w:val="Normal5"/>
      </w:pPr>
      <w:r>
        <w:t xml:space="preserve">Zakon o provedbi projekata međunarodne institucionalne suradnje Europske unije i projekata tehničke pomoći  </w:t>
      </w:r>
    </w:p>
    <w:p w14:paraId="2E4160A0" w14:textId="77777777" w:rsidR="00BF6314" w:rsidRDefault="003E3176">
      <w:pPr>
        <w:pStyle w:val="Normal5"/>
      </w:pPr>
      <w:r>
        <w:t>UREDBA (EU, Euratom) 2018/1046 EUROPSKOG PARLAMENTA I VIJEĆA od 18. srpnja 2018.</w:t>
      </w:r>
    </w:p>
    <w:tbl>
      <w:tblPr>
        <w:tblStyle w:val="StilTablice"/>
        <w:tblW w:w="10206" w:type="dxa"/>
        <w:jc w:val="center"/>
        <w:tblLook w:val="04A0" w:firstRow="1" w:lastRow="0" w:firstColumn="1" w:lastColumn="0" w:noHBand="0" w:noVBand="1"/>
      </w:tblPr>
      <w:tblGrid>
        <w:gridCol w:w="1521"/>
        <w:gridCol w:w="1557"/>
        <w:gridCol w:w="1549"/>
        <w:gridCol w:w="1549"/>
        <w:gridCol w:w="1530"/>
        <w:gridCol w:w="1530"/>
        <w:gridCol w:w="970"/>
      </w:tblGrid>
      <w:tr w:rsidR="00BF6314" w14:paraId="29A198FF" w14:textId="77777777">
        <w:trPr>
          <w:jc w:val="center"/>
        </w:trPr>
        <w:tc>
          <w:tcPr>
            <w:tcW w:w="1530" w:type="dxa"/>
            <w:shd w:val="clear" w:color="auto" w:fill="B5C0D8"/>
          </w:tcPr>
          <w:p w14:paraId="1D24ABCD" w14:textId="77777777" w:rsidR="00BF6314" w:rsidRDefault="003E3176">
            <w:pPr>
              <w:pStyle w:val="CellHeader"/>
            </w:pPr>
            <w:r>
              <w:rPr>
                <w:rFonts w:cs="Times New Roman"/>
              </w:rPr>
              <w:t>Naziv aktivnosti</w:t>
            </w:r>
          </w:p>
        </w:tc>
        <w:tc>
          <w:tcPr>
            <w:tcW w:w="1632" w:type="dxa"/>
            <w:shd w:val="clear" w:color="auto" w:fill="B5C0D8"/>
          </w:tcPr>
          <w:p w14:paraId="22DF8A80" w14:textId="77777777" w:rsidR="00BF6314" w:rsidRDefault="003E3176">
            <w:pPr>
              <w:pStyle w:val="CellHeader"/>
            </w:pPr>
            <w:r>
              <w:rPr>
                <w:rFonts w:cs="Times New Roman"/>
              </w:rPr>
              <w:t>Izvršenje 2023. (eur)</w:t>
            </w:r>
          </w:p>
        </w:tc>
        <w:tc>
          <w:tcPr>
            <w:tcW w:w="1632" w:type="dxa"/>
            <w:shd w:val="clear" w:color="auto" w:fill="B5C0D8"/>
          </w:tcPr>
          <w:p w14:paraId="74D11EB9" w14:textId="77777777" w:rsidR="00BF6314" w:rsidRDefault="003E3176">
            <w:pPr>
              <w:pStyle w:val="CellHeader"/>
            </w:pPr>
            <w:r>
              <w:rPr>
                <w:rFonts w:cs="Times New Roman"/>
              </w:rPr>
              <w:t>Plan 2024. (eur)</w:t>
            </w:r>
          </w:p>
        </w:tc>
        <w:tc>
          <w:tcPr>
            <w:tcW w:w="1632" w:type="dxa"/>
            <w:shd w:val="clear" w:color="auto" w:fill="B5C0D8"/>
          </w:tcPr>
          <w:p w14:paraId="15949153" w14:textId="77777777" w:rsidR="00BF6314" w:rsidRDefault="003E3176">
            <w:pPr>
              <w:pStyle w:val="CellHeader"/>
            </w:pPr>
            <w:r>
              <w:rPr>
                <w:rFonts w:cs="Times New Roman"/>
              </w:rPr>
              <w:t>Plan 2025. (eur)</w:t>
            </w:r>
          </w:p>
        </w:tc>
        <w:tc>
          <w:tcPr>
            <w:tcW w:w="1632" w:type="dxa"/>
            <w:shd w:val="clear" w:color="auto" w:fill="B5C0D8"/>
          </w:tcPr>
          <w:p w14:paraId="7F97E933" w14:textId="77777777" w:rsidR="00BF6314" w:rsidRDefault="003E3176">
            <w:pPr>
              <w:pStyle w:val="CellHeader"/>
            </w:pPr>
            <w:r>
              <w:rPr>
                <w:rFonts w:cs="Times New Roman"/>
              </w:rPr>
              <w:t>Plan 2026. (eur)</w:t>
            </w:r>
          </w:p>
        </w:tc>
        <w:tc>
          <w:tcPr>
            <w:tcW w:w="1632" w:type="dxa"/>
            <w:shd w:val="clear" w:color="auto" w:fill="B5C0D8"/>
          </w:tcPr>
          <w:p w14:paraId="01DA57BF" w14:textId="77777777" w:rsidR="00BF6314" w:rsidRDefault="003E3176">
            <w:pPr>
              <w:pStyle w:val="CellHeader"/>
            </w:pPr>
            <w:r>
              <w:rPr>
                <w:rFonts w:cs="Times New Roman"/>
              </w:rPr>
              <w:t>Plan 2027. (eur)</w:t>
            </w:r>
          </w:p>
        </w:tc>
        <w:tc>
          <w:tcPr>
            <w:tcW w:w="510" w:type="dxa"/>
            <w:shd w:val="clear" w:color="auto" w:fill="B5C0D8"/>
          </w:tcPr>
          <w:p w14:paraId="3064E493" w14:textId="77777777" w:rsidR="00BF6314" w:rsidRDefault="003E3176">
            <w:pPr>
              <w:pStyle w:val="CellHeader"/>
            </w:pPr>
            <w:r>
              <w:rPr>
                <w:rFonts w:cs="Times New Roman"/>
              </w:rPr>
              <w:t>Indeks 2025/2024</w:t>
            </w:r>
          </w:p>
        </w:tc>
      </w:tr>
      <w:tr w:rsidR="00BF6314" w14:paraId="1F07686C" w14:textId="77777777">
        <w:trPr>
          <w:jc w:val="center"/>
        </w:trPr>
        <w:tc>
          <w:tcPr>
            <w:tcW w:w="1530" w:type="dxa"/>
          </w:tcPr>
          <w:p w14:paraId="377744F4" w14:textId="77777777" w:rsidR="00BF6314" w:rsidRDefault="003E3176">
            <w:pPr>
              <w:pStyle w:val="CellColumn"/>
            </w:pPr>
            <w:r>
              <w:rPr>
                <w:rFonts w:cs="Times New Roman"/>
              </w:rPr>
              <w:t>T658160-PRIJENOS ZNANJA ZEMLJAMA KORISNICIMA TEHNIČKE POMOĆI</w:t>
            </w:r>
          </w:p>
        </w:tc>
        <w:tc>
          <w:tcPr>
            <w:tcW w:w="1632" w:type="dxa"/>
          </w:tcPr>
          <w:p w14:paraId="759D2811" w14:textId="77777777" w:rsidR="00BF6314" w:rsidRDefault="003E3176">
            <w:pPr>
              <w:pStyle w:val="CellColumn"/>
            </w:pPr>
            <w:r>
              <w:rPr>
                <w:rFonts w:cs="Times New Roman"/>
              </w:rPr>
              <w:t>00</w:t>
            </w:r>
          </w:p>
        </w:tc>
        <w:tc>
          <w:tcPr>
            <w:tcW w:w="1632" w:type="dxa"/>
          </w:tcPr>
          <w:p w14:paraId="291715CE" w14:textId="77777777" w:rsidR="00BF6314" w:rsidRDefault="003E3176">
            <w:pPr>
              <w:pStyle w:val="CellColumn"/>
            </w:pPr>
            <w:r>
              <w:rPr>
                <w:rFonts w:cs="Times New Roman"/>
              </w:rPr>
              <w:t>113.490</w:t>
            </w:r>
          </w:p>
        </w:tc>
        <w:tc>
          <w:tcPr>
            <w:tcW w:w="1632" w:type="dxa"/>
          </w:tcPr>
          <w:p w14:paraId="75AC3C9A" w14:textId="77777777" w:rsidR="00BF6314" w:rsidRDefault="003E3176">
            <w:pPr>
              <w:pStyle w:val="CellColumn"/>
            </w:pPr>
            <w:r>
              <w:rPr>
                <w:rFonts w:cs="Times New Roman"/>
              </w:rPr>
              <w:t>119.310</w:t>
            </w:r>
          </w:p>
        </w:tc>
        <w:tc>
          <w:tcPr>
            <w:tcW w:w="1632" w:type="dxa"/>
          </w:tcPr>
          <w:p w14:paraId="6B9DC5B2" w14:textId="77777777" w:rsidR="00BF6314" w:rsidRDefault="003E3176">
            <w:pPr>
              <w:pStyle w:val="CellColumn"/>
            </w:pPr>
            <w:r>
              <w:rPr>
                <w:rFonts w:cs="Times New Roman"/>
              </w:rPr>
              <w:t>00</w:t>
            </w:r>
          </w:p>
        </w:tc>
        <w:tc>
          <w:tcPr>
            <w:tcW w:w="1632" w:type="dxa"/>
          </w:tcPr>
          <w:p w14:paraId="1EB63148" w14:textId="77777777" w:rsidR="00BF6314" w:rsidRDefault="003E3176">
            <w:pPr>
              <w:pStyle w:val="CellColumn"/>
            </w:pPr>
            <w:r>
              <w:rPr>
                <w:rFonts w:cs="Times New Roman"/>
              </w:rPr>
              <w:t>00</w:t>
            </w:r>
          </w:p>
        </w:tc>
        <w:tc>
          <w:tcPr>
            <w:tcW w:w="510" w:type="dxa"/>
          </w:tcPr>
          <w:p w14:paraId="4E8D551F" w14:textId="77777777" w:rsidR="00BF6314" w:rsidRDefault="003E3176">
            <w:pPr>
              <w:pStyle w:val="CellColumn"/>
            </w:pPr>
            <w:r>
              <w:rPr>
                <w:rFonts w:cs="Times New Roman"/>
              </w:rPr>
              <w:t>105,1</w:t>
            </w:r>
          </w:p>
        </w:tc>
      </w:tr>
    </w:tbl>
    <w:p w14:paraId="7A3DA8C2" w14:textId="77777777" w:rsidR="00BF6314" w:rsidRDefault="00BF6314">
      <w:pPr>
        <w:jc w:val="left"/>
      </w:pPr>
    </w:p>
    <w:p w14:paraId="2A801D27" w14:textId="77777777" w:rsidR="00BF6314" w:rsidRDefault="003E3176">
      <w:r>
        <w:t xml:space="preserve">U razdoblju 2025.-2027. godini nastavlja se potpora i pružanje tehničke pomoći zemljama nečlanicama EU-a kroz prenošenje znanja i iskustva stručnjaka javnih tijela država članica EU-a. Projekti prijenosa znanja zemljama korisnicima tehničke pomoći koje Zavod planira provoditi, biti će vezani uz proizvodnju službene statistike, odnosno uz sve relevantne statističke aktivnosti u svrhu učinkovitog upravljanja statističkim sustavom zemlje.   </w:t>
      </w:r>
    </w:p>
    <w:p w14:paraId="0FEB329E" w14:textId="77777777" w:rsidR="00BF6314" w:rsidRDefault="003E3176">
      <w:r>
        <w:t xml:space="preserve">Za 2026. godinu planiran je projekt tehničke pomoći za BiH. Opći cilj (učinak) provedbe predmetnog projekta tehničke pomoći je povećati korištenje administrativnih izvora podataka u redovnoj proizvodnji službene statistike u BiH.  </w:t>
      </w:r>
    </w:p>
    <w:p w14:paraId="4D019BE2" w14:textId="77777777" w:rsidR="00BF6314" w:rsidRDefault="003E3176">
      <w:r>
        <w:t xml:space="preserve">Specifični ciljevi/ishodi provedbe projekata teničke pomoći za zemlju korisnicu tehničke pomoći su: uspostavljena ili poboljšana suradnja s odabranim nositeljima/vlasnicima administrativnih izvora podataka na svim razinama vlasti i podizanje svijesti nositelja/vlasnika podataka od značaja za korištenje administrativnih izvora podataka u redovnoj proizvodnji službene statistike.  </w:t>
      </w:r>
    </w:p>
    <w:p w14:paraId="51C607B0" w14:textId="77777777" w:rsidR="00BF6314" w:rsidRDefault="003E3176">
      <w:r>
        <w:t xml:space="preserve">Zavod će vlastitim kapacitetima voditi projekte tehničke pomoći te omogućiti državama korisnicama adekvatne stručnjake za pojedini djelokrug proizvodnje službene statistike, odnosno omogućiti prijenos hrvatskog znanja i iskustva u području europskih statističkih poslova stečenih kroz proces pristupanja RH EU.   </w:t>
      </w:r>
    </w:p>
    <w:p w14:paraId="3521DBEE" w14:textId="77777777" w:rsidR="00BF6314" w:rsidRDefault="003E3176">
      <w:r>
        <w:t xml:space="preserve">Modeli ostvarenja navedenih aktivnosti su: konzultacije, studijske posjete i održavanje sastanaka/konferencija.  </w:t>
      </w:r>
    </w:p>
    <w:p w14:paraId="6EFF1000" w14:textId="77777777" w:rsidR="00BF6314" w:rsidRDefault="003E3176">
      <w:r>
        <w:t xml:space="preserve">Projekt je započeo u 2024. godini., a planirani završetak je 17/09/2025.  </w:t>
      </w:r>
    </w:p>
    <w:p w14:paraId="4A15C856" w14:textId="77777777" w:rsidR="00BF6314" w:rsidRDefault="003E3176">
      <w:r>
        <w:t>Za provedbu opisanih aktivnosti u 2025. godini, na izvoru financiranja 31 Vlastiti prihodi, planirana su sredstva za rashode za zaposlene u iznosu od 94.710 EUR i materijalne rashode u iznosu od 24.600 EUR.</w:t>
      </w:r>
    </w:p>
    <w:p w14:paraId="40B35A4B" w14:textId="77777777" w:rsidR="00BF6314" w:rsidRDefault="003E3176">
      <w:pPr>
        <w:pStyle w:val="Heading8"/>
        <w:jc w:val="left"/>
      </w:pPr>
      <w:r>
        <w:t>Pokazatelji rezultata</w:t>
      </w:r>
    </w:p>
    <w:tbl>
      <w:tblPr>
        <w:tblStyle w:val="StilTablice"/>
        <w:tblW w:w="10206" w:type="dxa"/>
        <w:jc w:val="center"/>
        <w:tblLook w:val="04A0" w:firstRow="1" w:lastRow="0" w:firstColumn="1" w:lastColumn="0" w:noHBand="0" w:noVBand="1"/>
      </w:tblPr>
      <w:tblGrid>
        <w:gridCol w:w="1919"/>
        <w:gridCol w:w="1885"/>
        <w:gridCol w:w="1839"/>
        <w:gridCol w:w="917"/>
        <w:gridCol w:w="895"/>
        <w:gridCol w:w="917"/>
        <w:gridCol w:w="917"/>
        <w:gridCol w:w="917"/>
      </w:tblGrid>
      <w:tr w:rsidR="00BF6314" w14:paraId="72BF2378" w14:textId="77777777">
        <w:trPr>
          <w:jc w:val="center"/>
        </w:trPr>
        <w:tc>
          <w:tcPr>
            <w:tcW w:w="2245" w:type="dxa"/>
            <w:shd w:val="clear" w:color="auto" w:fill="B5C0D8"/>
          </w:tcPr>
          <w:p w14:paraId="3B9BBAED" w14:textId="77777777" w:rsidR="00BF6314" w:rsidRDefault="003E3176">
            <w:r>
              <w:t>Pokazatelj rezultata</w:t>
            </w:r>
          </w:p>
        </w:tc>
        <w:tc>
          <w:tcPr>
            <w:tcW w:w="2245" w:type="dxa"/>
            <w:shd w:val="clear" w:color="auto" w:fill="B5C0D8"/>
          </w:tcPr>
          <w:p w14:paraId="605EDB1B" w14:textId="77777777" w:rsidR="00BF6314" w:rsidRDefault="003E3176">
            <w:pPr>
              <w:pStyle w:val="CellHeader"/>
            </w:pPr>
            <w:r>
              <w:rPr>
                <w:rFonts w:cs="Times New Roman"/>
              </w:rPr>
              <w:t>Definicija</w:t>
            </w:r>
          </w:p>
        </w:tc>
        <w:tc>
          <w:tcPr>
            <w:tcW w:w="2245" w:type="dxa"/>
            <w:shd w:val="clear" w:color="auto" w:fill="B5C0D8"/>
          </w:tcPr>
          <w:p w14:paraId="32087FD0" w14:textId="77777777" w:rsidR="00BF6314" w:rsidRDefault="003E3176">
            <w:pPr>
              <w:pStyle w:val="CellHeader"/>
            </w:pPr>
            <w:r>
              <w:rPr>
                <w:rFonts w:cs="Times New Roman"/>
              </w:rPr>
              <w:t>Jedinica</w:t>
            </w:r>
          </w:p>
        </w:tc>
        <w:tc>
          <w:tcPr>
            <w:tcW w:w="918" w:type="dxa"/>
            <w:shd w:val="clear" w:color="auto" w:fill="B5C0D8"/>
          </w:tcPr>
          <w:p w14:paraId="0B1C22B6" w14:textId="77777777" w:rsidR="00BF6314" w:rsidRDefault="003E3176">
            <w:pPr>
              <w:pStyle w:val="CellHeader"/>
            </w:pPr>
            <w:r>
              <w:rPr>
                <w:rFonts w:cs="Times New Roman"/>
              </w:rPr>
              <w:t>Polazna vrijednost</w:t>
            </w:r>
          </w:p>
        </w:tc>
        <w:tc>
          <w:tcPr>
            <w:tcW w:w="918" w:type="dxa"/>
            <w:shd w:val="clear" w:color="auto" w:fill="B5C0D8"/>
          </w:tcPr>
          <w:p w14:paraId="516C52EB" w14:textId="77777777" w:rsidR="00BF6314" w:rsidRDefault="003E3176">
            <w:pPr>
              <w:pStyle w:val="CellHeader"/>
            </w:pPr>
            <w:r>
              <w:rPr>
                <w:rFonts w:cs="Times New Roman"/>
              </w:rPr>
              <w:t>Izvor podataka</w:t>
            </w:r>
          </w:p>
        </w:tc>
        <w:tc>
          <w:tcPr>
            <w:tcW w:w="918" w:type="dxa"/>
            <w:shd w:val="clear" w:color="auto" w:fill="B5C0D8"/>
          </w:tcPr>
          <w:p w14:paraId="43B5E10E" w14:textId="77777777" w:rsidR="00BF6314" w:rsidRDefault="003E3176">
            <w:pPr>
              <w:pStyle w:val="CellHeader"/>
            </w:pPr>
            <w:r>
              <w:rPr>
                <w:rFonts w:cs="Times New Roman"/>
              </w:rPr>
              <w:t>Ciljana vrijednost (2025.)</w:t>
            </w:r>
          </w:p>
        </w:tc>
        <w:tc>
          <w:tcPr>
            <w:tcW w:w="918" w:type="dxa"/>
            <w:shd w:val="clear" w:color="auto" w:fill="B5C0D8"/>
          </w:tcPr>
          <w:p w14:paraId="3387AE34" w14:textId="77777777" w:rsidR="00BF6314" w:rsidRDefault="003E3176">
            <w:pPr>
              <w:pStyle w:val="CellHeader"/>
            </w:pPr>
            <w:r>
              <w:rPr>
                <w:rFonts w:cs="Times New Roman"/>
              </w:rPr>
              <w:t>Ciljana vrijednost (2026.)</w:t>
            </w:r>
          </w:p>
        </w:tc>
        <w:tc>
          <w:tcPr>
            <w:tcW w:w="918" w:type="dxa"/>
            <w:shd w:val="clear" w:color="auto" w:fill="B5C0D8"/>
          </w:tcPr>
          <w:p w14:paraId="7732CBBE" w14:textId="77777777" w:rsidR="00BF6314" w:rsidRDefault="003E3176">
            <w:pPr>
              <w:pStyle w:val="CellHeader"/>
            </w:pPr>
            <w:r>
              <w:rPr>
                <w:rFonts w:cs="Times New Roman"/>
              </w:rPr>
              <w:t>Ciljana vrijednost (2027.)</w:t>
            </w:r>
          </w:p>
        </w:tc>
      </w:tr>
      <w:tr w:rsidR="00BF6314" w14:paraId="6DD271D3" w14:textId="77777777">
        <w:trPr>
          <w:jc w:val="center"/>
        </w:trPr>
        <w:tc>
          <w:tcPr>
            <w:tcW w:w="2245" w:type="dxa"/>
          </w:tcPr>
          <w:p w14:paraId="29C09EB8" w14:textId="77777777" w:rsidR="00BF6314" w:rsidRDefault="003E3176">
            <w:pPr>
              <w:pStyle w:val="CellColumn"/>
            </w:pPr>
            <w:r>
              <w:rPr>
                <w:rFonts w:cs="Times New Roman"/>
              </w:rPr>
              <w:t>Broj završenih projekata tehničke pomoći (kumulativ)</w:t>
            </w:r>
          </w:p>
        </w:tc>
        <w:tc>
          <w:tcPr>
            <w:tcW w:w="2245" w:type="dxa"/>
          </w:tcPr>
          <w:p w14:paraId="5D95B084" w14:textId="77777777" w:rsidR="00BF6314" w:rsidRDefault="003E3176">
            <w:pPr>
              <w:pStyle w:val="CellColumn"/>
            </w:pPr>
            <w:r>
              <w:rPr>
                <w:rFonts w:cs="Times New Roman"/>
              </w:rPr>
              <w:t>Prijenos znanja i iskustva hrvatskih stručnjaka zemlji korisnici tehničke pomoći.</w:t>
            </w:r>
          </w:p>
        </w:tc>
        <w:tc>
          <w:tcPr>
            <w:tcW w:w="918" w:type="dxa"/>
          </w:tcPr>
          <w:p w14:paraId="52A19038" w14:textId="77777777" w:rsidR="00BF6314" w:rsidRDefault="003E3176">
            <w:pPr>
              <w:pStyle w:val="CellColumn"/>
            </w:pPr>
            <w:r>
              <w:rPr>
                <w:rFonts w:cs="Times New Roman"/>
              </w:rPr>
              <w:t>Broj</w:t>
            </w:r>
          </w:p>
        </w:tc>
        <w:tc>
          <w:tcPr>
            <w:tcW w:w="918" w:type="dxa"/>
          </w:tcPr>
          <w:p w14:paraId="1B268D23" w14:textId="77777777" w:rsidR="00BF6314" w:rsidRDefault="003E3176">
            <w:pPr>
              <w:pStyle w:val="CellColumn"/>
            </w:pPr>
            <w:r>
              <w:rPr>
                <w:rFonts w:cs="Times New Roman"/>
              </w:rPr>
              <w:t>1</w:t>
            </w:r>
          </w:p>
        </w:tc>
        <w:tc>
          <w:tcPr>
            <w:tcW w:w="918" w:type="dxa"/>
          </w:tcPr>
          <w:p w14:paraId="3101348F" w14:textId="77777777" w:rsidR="00BF6314" w:rsidRDefault="003E3176">
            <w:pPr>
              <w:pStyle w:val="CellColumn"/>
            </w:pPr>
            <w:r>
              <w:rPr>
                <w:rFonts w:cs="Times New Roman"/>
              </w:rPr>
              <w:t>DZS</w:t>
            </w:r>
          </w:p>
        </w:tc>
        <w:tc>
          <w:tcPr>
            <w:tcW w:w="918" w:type="dxa"/>
          </w:tcPr>
          <w:p w14:paraId="164A184F" w14:textId="77777777" w:rsidR="00BF6314" w:rsidRDefault="003E3176">
            <w:pPr>
              <w:pStyle w:val="CellColumn"/>
            </w:pPr>
            <w:r>
              <w:rPr>
                <w:rFonts w:cs="Times New Roman"/>
              </w:rPr>
              <w:t>1</w:t>
            </w:r>
          </w:p>
        </w:tc>
        <w:tc>
          <w:tcPr>
            <w:tcW w:w="918" w:type="dxa"/>
          </w:tcPr>
          <w:p w14:paraId="339357AE" w14:textId="77777777" w:rsidR="00BF6314" w:rsidRDefault="003E3176">
            <w:pPr>
              <w:pStyle w:val="CellColumn"/>
            </w:pPr>
            <w:r>
              <w:rPr>
                <w:rFonts w:cs="Times New Roman"/>
              </w:rPr>
              <w:t>0</w:t>
            </w:r>
          </w:p>
        </w:tc>
        <w:tc>
          <w:tcPr>
            <w:tcW w:w="918" w:type="dxa"/>
          </w:tcPr>
          <w:p w14:paraId="369784E7" w14:textId="77777777" w:rsidR="00BF6314" w:rsidRDefault="003E3176">
            <w:pPr>
              <w:pStyle w:val="CellColumn"/>
            </w:pPr>
            <w:r>
              <w:rPr>
                <w:rFonts w:cs="Times New Roman"/>
              </w:rPr>
              <w:t>0</w:t>
            </w:r>
          </w:p>
        </w:tc>
      </w:tr>
    </w:tbl>
    <w:p w14:paraId="3D6598AC" w14:textId="77777777" w:rsidR="00BF6314" w:rsidRDefault="00BF6314">
      <w:pPr>
        <w:jc w:val="left"/>
      </w:pPr>
    </w:p>
    <w:p w14:paraId="7D9EE369" w14:textId="77777777" w:rsidR="00BF6314" w:rsidRDefault="003E3176">
      <w:pPr>
        <w:pStyle w:val="Heading4"/>
      </w:pPr>
      <w:r>
        <w:lastRenderedPageBreak/>
        <w:t>T658161 ORGANIZACIJA DGINS KONFERENCIJE I ESSC 2025.</w:t>
      </w:r>
    </w:p>
    <w:p w14:paraId="538726AF" w14:textId="77777777" w:rsidR="00BF6314" w:rsidRDefault="003E3176">
      <w:pPr>
        <w:pStyle w:val="Heading8"/>
        <w:jc w:val="left"/>
      </w:pPr>
      <w:r>
        <w:t>Zakonske i druge pravne osnove</w:t>
      </w:r>
    </w:p>
    <w:p w14:paraId="02E3E504" w14:textId="77777777" w:rsidR="00BF6314" w:rsidRDefault="003E3176">
      <w:pPr>
        <w:pStyle w:val="Normal5"/>
      </w:pPr>
      <w:r>
        <w:t>Zakon o službenoj statistici</w:t>
      </w:r>
    </w:p>
    <w:tbl>
      <w:tblPr>
        <w:tblStyle w:val="StilTablice"/>
        <w:tblW w:w="10206" w:type="dxa"/>
        <w:jc w:val="center"/>
        <w:tblLook w:val="04A0" w:firstRow="1" w:lastRow="0" w:firstColumn="1" w:lastColumn="0" w:noHBand="0" w:noVBand="1"/>
      </w:tblPr>
      <w:tblGrid>
        <w:gridCol w:w="1581"/>
        <w:gridCol w:w="1548"/>
        <w:gridCol w:w="1529"/>
        <w:gridCol w:w="1540"/>
        <w:gridCol w:w="1519"/>
        <w:gridCol w:w="1519"/>
        <w:gridCol w:w="970"/>
      </w:tblGrid>
      <w:tr w:rsidR="00BF6314" w14:paraId="1D744AAA" w14:textId="77777777">
        <w:trPr>
          <w:jc w:val="center"/>
        </w:trPr>
        <w:tc>
          <w:tcPr>
            <w:tcW w:w="1530" w:type="dxa"/>
            <w:shd w:val="clear" w:color="auto" w:fill="B5C0D8"/>
          </w:tcPr>
          <w:p w14:paraId="7BD56AF8" w14:textId="77777777" w:rsidR="00BF6314" w:rsidRDefault="003E3176">
            <w:pPr>
              <w:pStyle w:val="CellHeader"/>
            </w:pPr>
            <w:r>
              <w:rPr>
                <w:rFonts w:cs="Times New Roman"/>
              </w:rPr>
              <w:t>Naziv aktivnosti</w:t>
            </w:r>
          </w:p>
        </w:tc>
        <w:tc>
          <w:tcPr>
            <w:tcW w:w="1632" w:type="dxa"/>
            <w:shd w:val="clear" w:color="auto" w:fill="B5C0D8"/>
          </w:tcPr>
          <w:p w14:paraId="4575A5DB" w14:textId="77777777" w:rsidR="00BF6314" w:rsidRDefault="003E3176">
            <w:pPr>
              <w:pStyle w:val="CellHeader"/>
            </w:pPr>
            <w:r>
              <w:rPr>
                <w:rFonts w:cs="Times New Roman"/>
              </w:rPr>
              <w:t>Izvršenje 2023. (eur)</w:t>
            </w:r>
          </w:p>
        </w:tc>
        <w:tc>
          <w:tcPr>
            <w:tcW w:w="1632" w:type="dxa"/>
            <w:shd w:val="clear" w:color="auto" w:fill="B5C0D8"/>
          </w:tcPr>
          <w:p w14:paraId="4D689368" w14:textId="77777777" w:rsidR="00BF6314" w:rsidRDefault="003E3176">
            <w:pPr>
              <w:pStyle w:val="CellHeader"/>
            </w:pPr>
            <w:r>
              <w:rPr>
                <w:rFonts w:cs="Times New Roman"/>
              </w:rPr>
              <w:t>Plan 2024. (eur)</w:t>
            </w:r>
          </w:p>
        </w:tc>
        <w:tc>
          <w:tcPr>
            <w:tcW w:w="1632" w:type="dxa"/>
            <w:shd w:val="clear" w:color="auto" w:fill="B5C0D8"/>
          </w:tcPr>
          <w:p w14:paraId="3FEBD63F" w14:textId="77777777" w:rsidR="00BF6314" w:rsidRDefault="003E3176">
            <w:pPr>
              <w:pStyle w:val="CellHeader"/>
            </w:pPr>
            <w:r>
              <w:rPr>
                <w:rFonts w:cs="Times New Roman"/>
              </w:rPr>
              <w:t>Plan 2025. (eur)</w:t>
            </w:r>
          </w:p>
        </w:tc>
        <w:tc>
          <w:tcPr>
            <w:tcW w:w="1632" w:type="dxa"/>
            <w:shd w:val="clear" w:color="auto" w:fill="B5C0D8"/>
          </w:tcPr>
          <w:p w14:paraId="55870414" w14:textId="77777777" w:rsidR="00BF6314" w:rsidRDefault="003E3176">
            <w:pPr>
              <w:pStyle w:val="CellHeader"/>
            </w:pPr>
            <w:r>
              <w:rPr>
                <w:rFonts w:cs="Times New Roman"/>
              </w:rPr>
              <w:t>Plan 2026. (eur)</w:t>
            </w:r>
          </w:p>
        </w:tc>
        <w:tc>
          <w:tcPr>
            <w:tcW w:w="1632" w:type="dxa"/>
            <w:shd w:val="clear" w:color="auto" w:fill="B5C0D8"/>
          </w:tcPr>
          <w:p w14:paraId="37B46143" w14:textId="77777777" w:rsidR="00BF6314" w:rsidRDefault="003E3176">
            <w:pPr>
              <w:pStyle w:val="CellHeader"/>
            </w:pPr>
            <w:r>
              <w:rPr>
                <w:rFonts w:cs="Times New Roman"/>
              </w:rPr>
              <w:t>Plan 2027. (eur)</w:t>
            </w:r>
          </w:p>
        </w:tc>
        <w:tc>
          <w:tcPr>
            <w:tcW w:w="510" w:type="dxa"/>
            <w:shd w:val="clear" w:color="auto" w:fill="B5C0D8"/>
          </w:tcPr>
          <w:p w14:paraId="1E0413B2" w14:textId="77777777" w:rsidR="00BF6314" w:rsidRDefault="003E3176">
            <w:pPr>
              <w:pStyle w:val="CellHeader"/>
            </w:pPr>
            <w:r>
              <w:rPr>
                <w:rFonts w:cs="Times New Roman"/>
              </w:rPr>
              <w:t>Indeks 2025/2024</w:t>
            </w:r>
          </w:p>
        </w:tc>
      </w:tr>
      <w:tr w:rsidR="00BF6314" w14:paraId="24368ADD" w14:textId="77777777">
        <w:trPr>
          <w:jc w:val="center"/>
        </w:trPr>
        <w:tc>
          <w:tcPr>
            <w:tcW w:w="1530" w:type="dxa"/>
          </w:tcPr>
          <w:p w14:paraId="11611BAD" w14:textId="77777777" w:rsidR="00BF6314" w:rsidRDefault="003E3176">
            <w:pPr>
              <w:pStyle w:val="CellColumn"/>
            </w:pPr>
            <w:r>
              <w:rPr>
                <w:rFonts w:cs="Times New Roman"/>
              </w:rPr>
              <w:t>T658161-ORGANIZACIJA DGINS KONFERENCIJE I ESSC 2025.</w:t>
            </w:r>
          </w:p>
        </w:tc>
        <w:tc>
          <w:tcPr>
            <w:tcW w:w="1632" w:type="dxa"/>
          </w:tcPr>
          <w:p w14:paraId="556F6D00" w14:textId="77777777" w:rsidR="00BF6314" w:rsidRDefault="003E3176">
            <w:pPr>
              <w:pStyle w:val="CellColumn"/>
            </w:pPr>
            <w:r>
              <w:rPr>
                <w:rFonts w:cs="Times New Roman"/>
              </w:rPr>
              <w:t>00</w:t>
            </w:r>
          </w:p>
        </w:tc>
        <w:tc>
          <w:tcPr>
            <w:tcW w:w="1632" w:type="dxa"/>
          </w:tcPr>
          <w:p w14:paraId="2EB578D6" w14:textId="77777777" w:rsidR="00BF6314" w:rsidRDefault="003E3176">
            <w:pPr>
              <w:pStyle w:val="CellColumn"/>
            </w:pPr>
            <w:r>
              <w:rPr>
                <w:rFonts w:cs="Times New Roman"/>
              </w:rPr>
              <w:t>19.000</w:t>
            </w:r>
          </w:p>
        </w:tc>
        <w:tc>
          <w:tcPr>
            <w:tcW w:w="1632" w:type="dxa"/>
          </w:tcPr>
          <w:p w14:paraId="02E9696F" w14:textId="77777777" w:rsidR="00BF6314" w:rsidRDefault="003E3176">
            <w:pPr>
              <w:pStyle w:val="CellColumn"/>
            </w:pPr>
            <w:r>
              <w:rPr>
                <w:rFonts w:cs="Times New Roman"/>
              </w:rPr>
              <w:t>386.500</w:t>
            </w:r>
          </w:p>
        </w:tc>
        <w:tc>
          <w:tcPr>
            <w:tcW w:w="1632" w:type="dxa"/>
          </w:tcPr>
          <w:p w14:paraId="4F7E89EF" w14:textId="77777777" w:rsidR="00BF6314" w:rsidRDefault="003E3176">
            <w:pPr>
              <w:pStyle w:val="CellColumn"/>
            </w:pPr>
            <w:r>
              <w:rPr>
                <w:rFonts w:cs="Times New Roman"/>
              </w:rPr>
              <w:t>00</w:t>
            </w:r>
          </w:p>
        </w:tc>
        <w:tc>
          <w:tcPr>
            <w:tcW w:w="1632" w:type="dxa"/>
          </w:tcPr>
          <w:p w14:paraId="447E8206" w14:textId="77777777" w:rsidR="00BF6314" w:rsidRDefault="003E3176">
            <w:pPr>
              <w:pStyle w:val="CellColumn"/>
            </w:pPr>
            <w:r>
              <w:rPr>
                <w:rFonts w:cs="Times New Roman"/>
              </w:rPr>
              <w:t>00</w:t>
            </w:r>
          </w:p>
        </w:tc>
        <w:tc>
          <w:tcPr>
            <w:tcW w:w="510" w:type="dxa"/>
          </w:tcPr>
          <w:p w14:paraId="444EF5BF" w14:textId="77777777" w:rsidR="00BF6314" w:rsidRDefault="003E3176">
            <w:pPr>
              <w:pStyle w:val="CellColumn"/>
            </w:pPr>
            <w:r>
              <w:rPr>
                <w:rFonts w:cs="Times New Roman"/>
              </w:rPr>
              <w:t>2034,2</w:t>
            </w:r>
          </w:p>
        </w:tc>
      </w:tr>
    </w:tbl>
    <w:p w14:paraId="5B79F808" w14:textId="77777777" w:rsidR="00BF6314" w:rsidRDefault="00BF6314">
      <w:pPr>
        <w:jc w:val="left"/>
      </w:pPr>
    </w:p>
    <w:p w14:paraId="712D2A23" w14:textId="77777777" w:rsidR="00BF6314" w:rsidRDefault="003E3176">
      <w:r>
        <w:t xml:space="preserve">Državni zavod za statistiku će 2025. godine biti domaćin DGINS konferencije - Conference of the Directors General of the National Statistical Institutes i sastanka Odbora za Europski statistički sustav, koji će se održati u Splitu od 22. do 24. listopada 2025. godine. Prvi dio događanja odnosi se na DGINS konferenciju.  </w:t>
      </w:r>
    </w:p>
    <w:p w14:paraId="6CB67BBF" w14:textId="77777777" w:rsidR="00BF6314" w:rsidRDefault="003E3176">
      <w:r>
        <w:t xml:space="preserve">DGINS konferencija je godišnji skup direktora nacionalnih statističkih ureda zemalja članica Europske unije (EU). Cilj konferencije je strateška rasprava o ključnim pitanjima razvoja Europskog statističkog sustava (ESS) te procjena novih trendova i izazova s kojima se suočava službena statistika. Utemeljena 1953. godine u Luksemburgu, DGINS konferencija postala je glavni forum za rasprave o statističkim procesima i metodama koje podržavaju donošenje kvalitetnih politika u području statistike. </w:t>
      </w:r>
    </w:p>
    <w:p w14:paraId="2FB6321E" w14:textId="77777777" w:rsidR="00BF6314" w:rsidRDefault="003E3176">
      <w:r>
        <w:t xml:space="preserve">Ova konferencija je od iznimne važnosti jer osigurava usklađen i učinkovit razvoj službenih statistika unutar EU-a. S obzirom na sve veću složenost ekonomskih, društvenih i ekoloških izazova, službene statistike moraju biti brze, točne i relevantne. Konferencija omogućava nacionalnim statističkim uredima (NSI) razmjenu inovacija, metoda i pristupa u suočavanju s izazovima. Službene statistike pružaju pouzdane podatke koji su ključni za planiranje i donošenje odluka u raznim sektorima – od ekonomske politike i socijalnih usluga do zaštite okoliša i klimatskih promjena. </w:t>
      </w:r>
    </w:p>
    <w:p w14:paraId="7BAD79BE" w14:textId="77777777" w:rsidR="00BF6314" w:rsidRDefault="003E3176">
      <w:r>
        <w:t xml:space="preserve">DGINS konferencija kroz svoje tematske rasprave, pruža smjernice za unaprjeđenje metodologije i tehnologije u službenoj statistici. Sudionici konferencije su direktori nacionalnih statističkih ureda svih zemalja članica EU-a, predstavnici Eurostata, Europske središnje banke (ECB), Organizacije za ekonomsku suradnju i razvoj (OECD) te Gospodarske komisije UN-a za Europu (UNECE). Ponekad sudjeluju i predstavnici međunarodnih organizacija izvan Europe, što omogućuje širu razmjenu znanja. </w:t>
      </w:r>
    </w:p>
    <w:p w14:paraId="49246DDA" w14:textId="77777777" w:rsidR="00BF6314" w:rsidRDefault="003E3176">
      <w:r>
        <w:t xml:space="preserve">Svake godine domaćin konferencije je druga država članica ESS-a. Glavni cilj rasprave je osnažiti statistiku kao alat za bolje razumijevanje i rješavanje suvremenih izazova te unaprijediti metodologiju prikupljanja i obrade podataka. Organizacija DGINS 2025 bit će značajan događaj za Državni zavod za statistiku, jer će Hrvatska imati priliku predstaviti svoje statističke kapacitete i doprinose razvoju ESS-a kroz razmjenu iskustava sa statističkim institutima diljem Europe. </w:t>
      </w:r>
    </w:p>
    <w:p w14:paraId="1597198B" w14:textId="77777777" w:rsidR="00BF6314" w:rsidRDefault="003E3176">
      <w:r>
        <w:t xml:space="preserve">Drugi dio konferencije odnosi se na Odbor za Europski statistički sustav - European Statistical System Committee (ESSC), koji je ključna institucija ESS-a, osnovana radi osiguravanja visokokvalitetnih, usporedivih i pouzdanih statistika unutar EU-a. ESSC je odgovoran za strateško upravljanje i koordinaciju ESS-a, a članovi su mu direktori nacionalnih statističkih instituta zemalja članica EU-a te predstavnici Eurostata, statističkog ureda Europske komisije. Cilj ESSC-a je osigurati da statistike zadovolje potrebe donositelja politika, poslovnog sektora, istraživača i građana. </w:t>
      </w:r>
    </w:p>
    <w:p w14:paraId="60BB98B3" w14:textId="77777777" w:rsidR="00BF6314" w:rsidRDefault="003E3176">
      <w:r>
        <w:t xml:space="preserve">ESSC pruža smjernice za razvoj i provedbu statističkih programa unutar EU-a, usklađujući podatke između zemalja članica. Njegove glavne funkcije uključuju definiranje statističkih prioriteta EU-a, razvoj statističke infrastrukture, provedbu zakonodavnih akata i suradnju s međunarodnim institucijama poput OECD-a, UN-a i MMF-a. ESSC, kroz suradnju s nacionalnim statističkim uredima, osigurava harmonizaciju metodologije i podataka na europskoj razini. To uključuje standardizaciju metoda, pružanje tehničke pomoći i poticanje suradnje u rješavanju tehničkih i metodoloških izazova. ESSC ostaje temeljni stup ESS-a, omogućujući europskim statistikama da postanu ključni alat za donošenje politika i praćenje napretka u različitim sektorima, od gospodarstva do ekologije. </w:t>
      </w:r>
    </w:p>
    <w:p w14:paraId="17DDF581" w14:textId="77777777" w:rsidR="00BF6314" w:rsidRDefault="003E3176">
      <w:r>
        <w:t>Planirani troškovi organizacije DGINS konferencije i ESSC-a odnose se na najam konferencijskih dvorana, najam tehničke opreme, razne promotivne materijale kojim će se promovirati naša država kao domaćin ova dva važna događaja te na ugostiteljske usluge za vrijeme tri dana trajanja konferencije. Procijenjeni broj sudionika je 150.</w:t>
      </w:r>
    </w:p>
    <w:p w14:paraId="39200D9C" w14:textId="77777777" w:rsidR="00BF6314" w:rsidRDefault="003E3176">
      <w:pPr>
        <w:pStyle w:val="Heading8"/>
        <w:jc w:val="left"/>
      </w:pPr>
      <w:r>
        <w:lastRenderedPageBreak/>
        <w:t>Pokazatelji rezultata</w:t>
      </w:r>
    </w:p>
    <w:tbl>
      <w:tblPr>
        <w:tblStyle w:val="StilTablice"/>
        <w:tblW w:w="10206" w:type="dxa"/>
        <w:jc w:val="center"/>
        <w:tblLook w:val="04A0" w:firstRow="1" w:lastRow="0" w:firstColumn="1" w:lastColumn="0" w:noHBand="0" w:noVBand="1"/>
      </w:tblPr>
      <w:tblGrid>
        <w:gridCol w:w="1914"/>
        <w:gridCol w:w="1915"/>
        <w:gridCol w:w="1815"/>
        <w:gridCol w:w="917"/>
        <w:gridCol w:w="894"/>
        <w:gridCol w:w="917"/>
        <w:gridCol w:w="917"/>
        <w:gridCol w:w="917"/>
      </w:tblGrid>
      <w:tr w:rsidR="00BF6314" w14:paraId="5B3C1341" w14:textId="77777777">
        <w:trPr>
          <w:jc w:val="center"/>
        </w:trPr>
        <w:tc>
          <w:tcPr>
            <w:tcW w:w="2245" w:type="dxa"/>
            <w:shd w:val="clear" w:color="auto" w:fill="B5C0D8"/>
          </w:tcPr>
          <w:p w14:paraId="1DB6F8E8" w14:textId="77777777" w:rsidR="00BF6314" w:rsidRDefault="003E3176">
            <w:r>
              <w:t>Pokazatelj rezultata</w:t>
            </w:r>
          </w:p>
        </w:tc>
        <w:tc>
          <w:tcPr>
            <w:tcW w:w="2245" w:type="dxa"/>
            <w:shd w:val="clear" w:color="auto" w:fill="B5C0D8"/>
          </w:tcPr>
          <w:p w14:paraId="0F77B0F4" w14:textId="77777777" w:rsidR="00BF6314" w:rsidRDefault="003E3176">
            <w:pPr>
              <w:pStyle w:val="CellHeader"/>
            </w:pPr>
            <w:r>
              <w:rPr>
                <w:rFonts w:cs="Times New Roman"/>
              </w:rPr>
              <w:t>Definicija</w:t>
            </w:r>
          </w:p>
        </w:tc>
        <w:tc>
          <w:tcPr>
            <w:tcW w:w="2245" w:type="dxa"/>
            <w:shd w:val="clear" w:color="auto" w:fill="B5C0D8"/>
          </w:tcPr>
          <w:p w14:paraId="7DCC3DDB" w14:textId="77777777" w:rsidR="00BF6314" w:rsidRDefault="003E3176">
            <w:pPr>
              <w:pStyle w:val="CellHeader"/>
            </w:pPr>
            <w:r>
              <w:rPr>
                <w:rFonts w:cs="Times New Roman"/>
              </w:rPr>
              <w:t>Jedinica</w:t>
            </w:r>
          </w:p>
        </w:tc>
        <w:tc>
          <w:tcPr>
            <w:tcW w:w="918" w:type="dxa"/>
            <w:shd w:val="clear" w:color="auto" w:fill="B5C0D8"/>
          </w:tcPr>
          <w:p w14:paraId="1F6DE3C3" w14:textId="77777777" w:rsidR="00BF6314" w:rsidRDefault="003E3176">
            <w:pPr>
              <w:pStyle w:val="CellHeader"/>
            </w:pPr>
            <w:r>
              <w:rPr>
                <w:rFonts w:cs="Times New Roman"/>
              </w:rPr>
              <w:t>Polazna vrijednost</w:t>
            </w:r>
          </w:p>
        </w:tc>
        <w:tc>
          <w:tcPr>
            <w:tcW w:w="918" w:type="dxa"/>
            <w:shd w:val="clear" w:color="auto" w:fill="B5C0D8"/>
          </w:tcPr>
          <w:p w14:paraId="55C76437" w14:textId="77777777" w:rsidR="00BF6314" w:rsidRDefault="003E3176">
            <w:pPr>
              <w:pStyle w:val="CellHeader"/>
            </w:pPr>
            <w:r>
              <w:rPr>
                <w:rFonts w:cs="Times New Roman"/>
              </w:rPr>
              <w:t>Izvor podataka</w:t>
            </w:r>
          </w:p>
        </w:tc>
        <w:tc>
          <w:tcPr>
            <w:tcW w:w="918" w:type="dxa"/>
            <w:shd w:val="clear" w:color="auto" w:fill="B5C0D8"/>
          </w:tcPr>
          <w:p w14:paraId="5D5C6A8B" w14:textId="77777777" w:rsidR="00BF6314" w:rsidRDefault="003E3176">
            <w:pPr>
              <w:pStyle w:val="CellHeader"/>
            </w:pPr>
            <w:r>
              <w:rPr>
                <w:rFonts w:cs="Times New Roman"/>
              </w:rPr>
              <w:t>Ciljana vrijednost (2025.)</w:t>
            </w:r>
          </w:p>
        </w:tc>
        <w:tc>
          <w:tcPr>
            <w:tcW w:w="918" w:type="dxa"/>
            <w:shd w:val="clear" w:color="auto" w:fill="B5C0D8"/>
          </w:tcPr>
          <w:p w14:paraId="3D704B29" w14:textId="77777777" w:rsidR="00BF6314" w:rsidRDefault="003E3176">
            <w:pPr>
              <w:pStyle w:val="CellHeader"/>
            </w:pPr>
            <w:r>
              <w:rPr>
                <w:rFonts w:cs="Times New Roman"/>
              </w:rPr>
              <w:t>Ciljana vrijednost (2026.)</w:t>
            </w:r>
          </w:p>
        </w:tc>
        <w:tc>
          <w:tcPr>
            <w:tcW w:w="918" w:type="dxa"/>
            <w:shd w:val="clear" w:color="auto" w:fill="B5C0D8"/>
          </w:tcPr>
          <w:p w14:paraId="1800369E" w14:textId="77777777" w:rsidR="00BF6314" w:rsidRDefault="003E3176">
            <w:pPr>
              <w:pStyle w:val="CellHeader"/>
            </w:pPr>
            <w:r>
              <w:rPr>
                <w:rFonts w:cs="Times New Roman"/>
              </w:rPr>
              <w:t>Ciljana vrijednost (2027.)</w:t>
            </w:r>
          </w:p>
        </w:tc>
      </w:tr>
      <w:tr w:rsidR="00BF6314" w14:paraId="5D2E7340" w14:textId="77777777">
        <w:trPr>
          <w:jc w:val="center"/>
        </w:trPr>
        <w:tc>
          <w:tcPr>
            <w:tcW w:w="2245" w:type="dxa"/>
          </w:tcPr>
          <w:p w14:paraId="2ABB85DF" w14:textId="77777777" w:rsidR="00BF6314" w:rsidRDefault="003E3176">
            <w:pPr>
              <w:pStyle w:val="CellColumn"/>
            </w:pPr>
            <w:r>
              <w:rPr>
                <w:rFonts w:cs="Times New Roman"/>
              </w:rPr>
              <w:t>Održana konferencija DGINS konferencije - Conference of the Directors General of the National Statistical Institutes i sastanak Odbora za Europski statistički sustav</w:t>
            </w:r>
          </w:p>
        </w:tc>
        <w:tc>
          <w:tcPr>
            <w:tcW w:w="2245" w:type="dxa"/>
          </w:tcPr>
          <w:p w14:paraId="770B8D02" w14:textId="77777777" w:rsidR="00BF6314" w:rsidRDefault="003E3176">
            <w:pPr>
              <w:pStyle w:val="CellColumn"/>
            </w:pPr>
            <w:r>
              <w:rPr>
                <w:rFonts w:cs="Times New Roman"/>
              </w:rPr>
              <w:t>Državni zavod za statistiku će 2025. godine biti domaćin DGINS konferencije - Conference of the Directors General of the National Statistical Institutes i sastanka Odbora za Europski statistički sustav, koji će se održati u Splitu od 22. do 24. listopada 2025. godine.</w:t>
            </w:r>
          </w:p>
        </w:tc>
        <w:tc>
          <w:tcPr>
            <w:tcW w:w="918" w:type="dxa"/>
          </w:tcPr>
          <w:p w14:paraId="112D6D21" w14:textId="77777777" w:rsidR="00BF6314" w:rsidRDefault="003E3176">
            <w:pPr>
              <w:pStyle w:val="CellColumn"/>
            </w:pPr>
            <w:r>
              <w:rPr>
                <w:rFonts w:cs="Times New Roman"/>
              </w:rPr>
              <w:t>Broj</w:t>
            </w:r>
          </w:p>
        </w:tc>
        <w:tc>
          <w:tcPr>
            <w:tcW w:w="918" w:type="dxa"/>
          </w:tcPr>
          <w:p w14:paraId="16C057F1" w14:textId="77777777" w:rsidR="00BF6314" w:rsidRDefault="003E3176">
            <w:pPr>
              <w:pStyle w:val="CellColumn"/>
            </w:pPr>
            <w:r>
              <w:rPr>
                <w:rFonts w:cs="Times New Roman"/>
              </w:rPr>
              <w:t>0</w:t>
            </w:r>
          </w:p>
        </w:tc>
        <w:tc>
          <w:tcPr>
            <w:tcW w:w="918" w:type="dxa"/>
          </w:tcPr>
          <w:p w14:paraId="6BFA80EE" w14:textId="77777777" w:rsidR="00BF6314" w:rsidRDefault="003E3176">
            <w:pPr>
              <w:pStyle w:val="CellColumn"/>
            </w:pPr>
            <w:r>
              <w:rPr>
                <w:rFonts w:cs="Times New Roman"/>
              </w:rPr>
              <w:t>DZS</w:t>
            </w:r>
          </w:p>
        </w:tc>
        <w:tc>
          <w:tcPr>
            <w:tcW w:w="918" w:type="dxa"/>
          </w:tcPr>
          <w:p w14:paraId="04311623" w14:textId="77777777" w:rsidR="00BF6314" w:rsidRDefault="003E3176">
            <w:pPr>
              <w:pStyle w:val="CellColumn"/>
            </w:pPr>
            <w:r>
              <w:rPr>
                <w:rFonts w:cs="Times New Roman"/>
              </w:rPr>
              <w:t>1</w:t>
            </w:r>
          </w:p>
        </w:tc>
        <w:tc>
          <w:tcPr>
            <w:tcW w:w="918" w:type="dxa"/>
          </w:tcPr>
          <w:p w14:paraId="6A2AF0F0" w14:textId="77777777" w:rsidR="00BF6314" w:rsidRDefault="003E3176">
            <w:pPr>
              <w:pStyle w:val="CellColumn"/>
            </w:pPr>
            <w:r>
              <w:rPr>
                <w:rFonts w:cs="Times New Roman"/>
              </w:rPr>
              <w:t>0</w:t>
            </w:r>
          </w:p>
        </w:tc>
        <w:tc>
          <w:tcPr>
            <w:tcW w:w="918" w:type="dxa"/>
          </w:tcPr>
          <w:p w14:paraId="0C6A182F" w14:textId="77777777" w:rsidR="00BF6314" w:rsidRDefault="003E3176">
            <w:pPr>
              <w:pStyle w:val="CellColumn"/>
            </w:pPr>
            <w:r>
              <w:rPr>
                <w:rFonts w:cs="Times New Roman"/>
              </w:rPr>
              <w:t>0</w:t>
            </w:r>
          </w:p>
        </w:tc>
      </w:tr>
    </w:tbl>
    <w:p w14:paraId="158ED099" w14:textId="77777777" w:rsidR="00277E3B" w:rsidRDefault="00277E3B">
      <w:pPr>
        <w:jc w:val="left"/>
      </w:pPr>
    </w:p>
    <w:p w14:paraId="434303DE" w14:textId="77777777" w:rsidR="00CB2FC1" w:rsidRDefault="00CB2FC1">
      <w:pPr>
        <w:jc w:val="left"/>
      </w:pPr>
    </w:p>
    <w:p w14:paraId="585F9722" w14:textId="77777777" w:rsidR="00CB2FC1" w:rsidRDefault="00CB2FC1">
      <w:pPr>
        <w:jc w:val="left"/>
      </w:pPr>
    </w:p>
    <w:sectPr w:rsidR="00CB2FC1"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9C25" w14:textId="77777777" w:rsidR="00963938" w:rsidRDefault="00963938" w:rsidP="00F352E6">
      <w:r>
        <w:separator/>
      </w:r>
    </w:p>
  </w:endnote>
  <w:endnote w:type="continuationSeparator" w:id="0">
    <w:p w14:paraId="0B9A221C" w14:textId="77777777" w:rsidR="00963938" w:rsidRDefault="00963938"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35476" w14:textId="77777777" w:rsidR="00284C27" w:rsidRPr="00D769ED" w:rsidRDefault="00284C27" w:rsidP="007D4430">
    <w:pPr>
      <w:pStyle w:val="Footer"/>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0893B" w14:textId="77777777" w:rsidR="00963938" w:rsidRDefault="00963938" w:rsidP="00F352E6">
      <w:r>
        <w:separator/>
      </w:r>
    </w:p>
  </w:footnote>
  <w:footnote w:type="continuationSeparator" w:id="0">
    <w:p w14:paraId="22DA40C3" w14:textId="77777777" w:rsidR="00963938" w:rsidRDefault="00963938"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AA2C6" w14:textId="77777777" w:rsidR="00284C27" w:rsidRDefault="00284C27" w:rsidP="00A70582">
    <w:pPr>
      <w:pStyle w:val="Header"/>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76"/>
    <w:rsid w:val="00013A1A"/>
    <w:rsid w:val="0002533C"/>
    <w:rsid w:val="000352D6"/>
    <w:rsid w:val="000C0A6C"/>
    <w:rsid w:val="001011A9"/>
    <w:rsid w:val="0010779D"/>
    <w:rsid w:val="0013155A"/>
    <w:rsid w:val="001631C5"/>
    <w:rsid w:val="0017490A"/>
    <w:rsid w:val="001E5246"/>
    <w:rsid w:val="0027042C"/>
    <w:rsid w:val="0027567A"/>
    <w:rsid w:val="00277E3B"/>
    <w:rsid w:val="00284C27"/>
    <w:rsid w:val="002A0690"/>
    <w:rsid w:val="00311AA1"/>
    <w:rsid w:val="00382225"/>
    <w:rsid w:val="00386953"/>
    <w:rsid w:val="003E3176"/>
    <w:rsid w:val="00463609"/>
    <w:rsid w:val="00480C76"/>
    <w:rsid w:val="004C01B5"/>
    <w:rsid w:val="0052289C"/>
    <w:rsid w:val="00524A66"/>
    <w:rsid w:val="00526A7C"/>
    <w:rsid w:val="005A70C0"/>
    <w:rsid w:val="005B6ED7"/>
    <w:rsid w:val="005E2D85"/>
    <w:rsid w:val="00633683"/>
    <w:rsid w:val="00674346"/>
    <w:rsid w:val="006B3283"/>
    <w:rsid w:val="007665AA"/>
    <w:rsid w:val="007A7E45"/>
    <w:rsid w:val="007D1C46"/>
    <w:rsid w:val="007D395B"/>
    <w:rsid w:val="007D4430"/>
    <w:rsid w:val="00847495"/>
    <w:rsid w:val="008636E2"/>
    <w:rsid w:val="008A7E2A"/>
    <w:rsid w:val="009359F2"/>
    <w:rsid w:val="0094382E"/>
    <w:rsid w:val="00951B1A"/>
    <w:rsid w:val="00963938"/>
    <w:rsid w:val="009C694B"/>
    <w:rsid w:val="009E33D3"/>
    <w:rsid w:val="00A021A2"/>
    <w:rsid w:val="00A320E5"/>
    <w:rsid w:val="00A70582"/>
    <w:rsid w:val="00AB5FEA"/>
    <w:rsid w:val="00AB7B4E"/>
    <w:rsid w:val="00B15946"/>
    <w:rsid w:val="00B2737F"/>
    <w:rsid w:val="00B31E2E"/>
    <w:rsid w:val="00B41BF8"/>
    <w:rsid w:val="00BA487B"/>
    <w:rsid w:val="00BA7BD1"/>
    <w:rsid w:val="00BB642B"/>
    <w:rsid w:val="00BF02E9"/>
    <w:rsid w:val="00BF3F24"/>
    <w:rsid w:val="00BF6314"/>
    <w:rsid w:val="00C060D6"/>
    <w:rsid w:val="00C40620"/>
    <w:rsid w:val="00C7470A"/>
    <w:rsid w:val="00CB2FC1"/>
    <w:rsid w:val="00DE2416"/>
    <w:rsid w:val="00E42E87"/>
    <w:rsid w:val="00E62EF0"/>
    <w:rsid w:val="00ED0E3A"/>
    <w:rsid w:val="00EE3066"/>
    <w:rsid w:val="00F352E6"/>
    <w:rsid w:val="00F45798"/>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3CD54"/>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Heading1">
    <w:name w:val="heading 1"/>
    <w:basedOn w:val="Normal"/>
    <w:next w:val="Normal"/>
    <w:link w:val="Heading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Heading2">
    <w:name w:val="heading 2"/>
    <w:basedOn w:val="Normal"/>
    <w:next w:val="Normal"/>
    <w:link w:val="Heading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Heading3">
    <w:name w:val="heading 3"/>
    <w:basedOn w:val="Normal"/>
    <w:next w:val="Normal"/>
    <w:link w:val="Heading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Heading4">
    <w:name w:val="heading 4"/>
    <w:basedOn w:val="Normal"/>
    <w:next w:val="Normal"/>
    <w:link w:val="Heading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Heading5">
    <w:name w:val="heading 5"/>
    <w:basedOn w:val="Normal"/>
    <w:next w:val="Normal"/>
    <w:link w:val="Heading5Char"/>
    <w:qFormat/>
    <w:rsid w:val="00E62EF0"/>
    <w:pPr>
      <w:keepNext/>
      <w:keepLines/>
      <w:jc w:val="left"/>
      <w:outlineLvl w:val="4"/>
    </w:pPr>
    <w:rPr>
      <w:b/>
      <w:sz w:val="26"/>
      <w:szCs w:val="26"/>
    </w:rPr>
  </w:style>
  <w:style w:type="paragraph" w:styleId="Heading6">
    <w:name w:val="heading 6"/>
    <w:basedOn w:val="Normal"/>
    <w:next w:val="Normal"/>
    <w:link w:val="Heading6Char"/>
    <w:qFormat/>
    <w:rsid w:val="00E62EF0"/>
    <w:pPr>
      <w:keepNext/>
      <w:keepLines/>
      <w:jc w:val="left"/>
      <w:outlineLvl w:val="5"/>
    </w:pPr>
    <w:rPr>
      <w:b/>
      <w:sz w:val="24"/>
      <w:szCs w:val="24"/>
    </w:rPr>
  </w:style>
  <w:style w:type="paragraph" w:styleId="Heading7">
    <w:name w:val="heading 7"/>
    <w:basedOn w:val="Normal"/>
    <w:next w:val="Normal"/>
    <w:link w:val="Heading7Char"/>
    <w:qFormat/>
    <w:rsid w:val="00E62EF0"/>
    <w:pPr>
      <w:keepNext/>
      <w:jc w:val="left"/>
      <w:outlineLvl w:val="6"/>
    </w:pPr>
    <w:rPr>
      <w:b/>
      <w:spacing w:val="24"/>
      <w:szCs w:val="22"/>
    </w:rPr>
  </w:style>
  <w:style w:type="paragraph" w:styleId="Heading8">
    <w:name w:val="heading 8"/>
    <w:basedOn w:val="Normal6"/>
    <w:next w:val="Normal"/>
    <w:link w:val="Heading8Char"/>
    <w:uiPriority w:val="9"/>
    <w:unhideWhenUsed/>
    <w:qFormat/>
    <w:rsid w:val="00E62EF0"/>
    <w:pPr>
      <w:keepNext/>
      <w:keepLines/>
      <w:ind w:left="0"/>
      <w:outlineLvl w:val="7"/>
    </w:pPr>
    <w:rPr>
      <w:b/>
    </w:rPr>
  </w:style>
  <w:style w:type="paragraph" w:styleId="Heading9">
    <w:name w:val="heading 9"/>
    <w:basedOn w:val="Normal"/>
    <w:next w:val="Normal"/>
    <w:link w:val="Heading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B1A"/>
    <w:rPr>
      <w:rFonts w:ascii="Times New Roman" w:eastAsia="Times New Roman" w:hAnsi="Times New Roman" w:cs="Times New Roman"/>
      <w:b/>
      <w:spacing w:val="20"/>
      <w:sz w:val="32"/>
      <w:szCs w:val="32"/>
      <w:shd w:val="clear" w:color="auto" w:fill="E6E6E6"/>
      <w:lang w:val="sl-SI"/>
    </w:rPr>
  </w:style>
  <w:style w:type="character" w:customStyle="1" w:styleId="Heading2Char">
    <w:name w:val="Heading 2 Char"/>
    <w:basedOn w:val="DefaultParagraphFont"/>
    <w:link w:val="Heading2"/>
    <w:rsid w:val="00E62EF0"/>
    <w:rPr>
      <w:rFonts w:ascii="Times New Roman" w:eastAsia="Times New Roman" w:hAnsi="Times New Roman" w:cs="Times New Roman"/>
      <w:b/>
      <w:spacing w:val="20"/>
      <w:sz w:val="30"/>
      <w:szCs w:val="30"/>
      <w:shd w:val="clear" w:color="auto" w:fill="E6E6E6"/>
      <w:lang w:val="sl-SI"/>
    </w:rPr>
  </w:style>
  <w:style w:type="character" w:customStyle="1" w:styleId="Heading3Char">
    <w:name w:val="Heading 3 Char"/>
    <w:basedOn w:val="DefaultParagraphFont"/>
    <w:link w:val="Heading3"/>
    <w:rsid w:val="00FE4B89"/>
    <w:rPr>
      <w:rFonts w:ascii="Times New Roman" w:eastAsia="Times New Roman" w:hAnsi="Times New Roman" w:cs="Arial"/>
      <w:b/>
      <w:iCs/>
      <w:spacing w:val="20"/>
      <w:sz w:val="28"/>
      <w:szCs w:val="28"/>
      <w:shd w:val="clear" w:color="auto" w:fill="E6E6E6"/>
      <w:lang w:val="sl-SI"/>
    </w:rPr>
  </w:style>
  <w:style w:type="character" w:customStyle="1" w:styleId="Heading4Char">
    <w:name w:val="Heading 4 Char"/>
    <w:basedOn w:val="DefaultParagraphFont"/>
    <w:link w:val="Heading4"/>
    <w:rsid w:val="00951B1A"/>
    <w:rPr>
      <w:rFonts w:ascii="Times New Roman" w:eastAsia="Times New Roman" w:hAnsi="Times New Roman" w:cs="Times New Roman"/>
      <w:b/>
      <w:bCs/>
      <w:sz w:val="28"/>
      <w:szCs w:val="28"/>
      <w:lang w:val="sl-SI"/>
    </w:rPr>
  </w:style>
  <w:style w:type="character" w:customStyle="1" w:styleId="Heading5Char">
    <w:name w:val="Heading 5 Char"/>
    <w:basedOn w:val="DefaultParagraphFont"/>
    <w:link w:val="Heading5"/>
    <w:rsid w:val="00E62EF0"/>
    <w:rPr>
      <w:rFonts w:ascii="Times New Roman" w:eastAsia="Times New Roman" w:hAnsi="Times New Roman" w:cs="Times New Roman"/>
      <w:b/>
      <w:sz w:val="26"/>
      <w:szCs w:val="26"/>
      <w:lang w:val="sl-SI"/>
    </w:rPr>
  </w:style>
  <w:style w:type="character" w:customStyle="1" w:styleId="Heading6Char">
    <w:name w:val="Heading 6 Char"/>
    <w:basedOn w:val="DefaultParagraphFont"/>
    <w:link w:val="Heading6"/>
    <w:rsid w:val="00E62EF0"/>
    <w:rPr>
      <w:rFonts w:ascii="Times New Roman" w:eastAsia="Times New Roman" w:hAnsi="Times New Roman" w:cs="Times New Roman"/>
      <w:b/>
      <w:sz w:val="24"/>
      <w:szCs w:val="24"/>
      <w:lang w:val="sl-SI"/>
    </w:rPr>
  </w:style>
  <w:style w:type="character" w:customStyle="1" w:styleId="Heading7Char">
    <w:name w:val="Heading 7 Char"/>
    <w:basedOn w:val="DefaultParagraphFont"/>
    <w:link w:val="Heading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Header">
    <w:name w:val="header"/>
    <w:basedOn w:val="Normal"/>
    <w:link w:val="HeaderChar"/>
    <w:semiHidden/>
    <w:rsid w:val="00480C76"/>
    <w:pPr>
      <w:pBdr>
        <w:bottom w:val="single" w:sz="4" w:space="1" w:color="auto"/>
      </w:pBdr>
      <w:tabs>
        <w:tab w:val="center" w:pos="4536"/>
        <w:tab w:val="right" w:pos="9072"/>
      </w:tabs>
    </w:pPr>
    <w:rPr>
      <w:sz w:val="16"/>
    </w:rPr>
  </w:style>
  <w:style w:type="character" w:customStyle="1" w:styleId="HeaderChar">
    <w:name w:val="Header Char"/>
    <w:basedOn w:val="DefaultParagraphFont"/>
    <w:link w:val="Header"/>
    <w:semiHidden/>
    <w:rsid w:val="00480C76"/>
    <w:rPr>
      <w:rFonts w:ascii="Times New Roman" w:eastAsia="Times New Roman" w:hAnsi="Times New Roman" w:cs="Times New Roman"/>
      <w:sz w:val="16"/>
      <w:szCs w:val="20"/>
      <w:lang w:val="sl-SI"/>
    </w:rPr>
  </w:style>
  <w:style w:type="paragraph" w:styleId="Footer">
    <w:name w:val="footer"/>
    <w:basedOn w:val="Normal"/>
    <w:link w:val="FooterChar"/>
    <w:semiHidden/>
    <w:rsid w:val="00480C76"/>
    <w:pPr>
      <w:pBdr>
        <w:top w:val="single" w:sz="4" w:space="1" w:color="auto"/>
      </w:pBdr>
      <w:tabs>
        <w:tab w:val="right" w:pos="9540"/>
      </w:tabs>
      <w:ind w:right="-21"/>
      <w:jc w:val="left"/>
    </w:pPr>
    <w:rPr>
      <w:sz w:val="20"/>
    </w:rPr>
  </w:style>
  <w:style w:type="character" w:customStyle="1" w:styleId="FooterChar">
    <w:name w:val="Footer Char"/>
    <w:basedOn w:val="DefaultParagraphFont"/>
    <w:link w:val="Footer"/>
    <w:semiHidden/>
    <w:rsid w:val="00480C76"/>
    <w:rPr>
      <w:rFonts w:ascii="Times New Roman" w:eastAsia="Times New Roman" w:hAnsi="Times New Roman" w:cs="Times New Roman"/>
      <w:sz w:val="20"/>
      <w:szCs w:val="20"/>
      <w:lang w:val="sl-SI"/>
    </w:rPr>
  </w:style>
  <w:style w:type="character" w:styleId="PageNumber">
    <w:name w:val="page number"/>
    <w:basedOn w:val="DefaultParagraphFont"/>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DefaultParagraphFont"/>
    <w:link w:val="Normal3"/>
    <w:rsid w:val="00480C76"/>
    <w:rPr>
      <w:rFonts w:ascii="Times New Roman" w:eastAsia="Times New Roman" w:hAnsi="Times New Roman" w:cs="Times New Roman"/>
      <w:szCs w:val="20"/>
      <w:lang w:val="sl-SI"/>
    </w:rPr>
  </w:style>
  <w:style w:type="character" w:customStyle="1" w:styleId="Normal5Char">
    <w:name w:val="Normal 5 Char"/>
    <w:basedOn w:val="DefaultParagraphFont"/>
    <w:link w:val="Normal5"/>
    <w:rsid w:val="00480C76"/>
    <w:rPr>
      <w:rFonts w:ascii="Times New Roman" w:eastAsia="Times New Roman" w:hAnsi="Times New Roman" w:cs="Times New Roman"/>
      <w:szCs w:val="20"/>
      <w:lang w:val="sl-SI"/>
    </w:rPr>
  </w:style>
  <w:style w:type="character" w:customStyle="1" w:styleId="Normal4Char">
    <w:name w:val="Normal 4 Char"/>
    <w:basedOn w:val="DefaultParagraphFont"/>
    <w:link w:val="Normal4"/>
    <w:rsid w:val="00480C76"/>
    <w:rPr>
      <w:rFonts w:ascii="Times New Roman" w:eastAsia="Times New Roman" w:hAnsi="Times New Roman" w:cs="Times New Roman"/>
      <w:szCs w:val="20"/>
      <w:lang w:val="sl-SI"/>
    </w:rPr>
  </w:style>
  <w:style w:type="character" w:styleId="Emphasis">
    <w:name w:val="Emphasis"/>
    <w:basedOn w:val="DefaultParagraphFont"/>
    <w:qFormat/>
    <w:rsid w:val="00480C76"/>
    <w:rPr>
      <w:b/>
      <w:bCs/>
      <w:i w:val="0"/>
      <w:iCs w:val="0"/>
    </w:rPr>
  </w:style>
  <w:style w:type="character" w:styleId="Strong">
    <w:name w:val="Strong"/>
    <w:basedOn w:val="DefaultParagraphFont"/>
    <w:qFormat/>
    <w:rsid w:val="00480C76"/>
    <w:rPr>
      <w:b/>
      <w:bCs/>
    </w:rPr>
  </w:style>
  <w:style w:type="character" w:styleId="Hyperlink">
    <w:name w:val="Hyperlink"/>
    <w:basedOn w:val="DefaultParagraphFont"/>
    <w:rsid w:val="00480C76"/>
    <w:rPr>
      <w:color w:val="0000FF"/>
      <w:u w:val="single"/>
    </w:rPr>
  </w:style>
  <w:style w:type="table" w:styleId="TableGrid">
    <w:name w:val="Table Grid"/>
    <w:basedOn w:val="TableNormal"/>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DefaultParagraphFont"/>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Heading8Char">
    <w:name w:val="Heading 8 Char"/>
    <w:basedOn w:val="DefaultParagraphFont"/>
    <w:link w:val="Heading8"/>
    <w:uiPriority w:val="9"/>
    <w:rsid w:val="00E62EF0"/>
    <w:rPr>
      <w:rFonts w:ascii="Times New Roman" w:eastAsia="Times New Roman" w:hAnsi="Times New Roman" w:cs="Times New Roman"/>
      <w:b/>
      <w:szCs w:val="20"/>
      <w:lang w:val="sl-SI"/>
    </w:rPr>
  </w:style>
  <w:style w:type="character" w:customStyle="1" w:styleId="Heading9Char">
    <w:name w:val="Heading 9 Char"/>
    <w:basedOn w:val="DefaultParagraphFont"/>
    <w:link w:val="Heading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TableNormal"/>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TableNormal"/>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5C74-F0A5-43D9-90B4-B27B2CF5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10910</Words>
  <Characters>62190</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Kušen Jelena</cp:lastModifiedBy>
  <cp:revision>3</cp:revision>
  <cp:lastPrinted>2024-11-12T13:00:00Z</cp:lastPrinted>
  <dcterms:created xsi:type="dcterms:W3CDTF">2024-12-30T12:20:00Z</dcterms:created>
  <dcterms:modified xsi:type="dcterms:W3CDTF">2024-12-30T12:29:00Z</dcterms:modified>
</cp:coreProperties>
</file>